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31F41" w14:textId="13E01320"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#90</w:t>
      </w:r>
      <w:r w:rsidR="00606F4F">
        <w:rPr>
          <w:rFonts w:cs="Arial"/>
          <w:sz w:val="24"/>
          <w:szCs w:val="24"/>
        </w:rPr>
        <w:t>bis</w:t>
      </w:r>
      <w:r w:rsidR="00627BF8" w:rsidRPr="007E46A3">
        <w:rPr>
          <w:rFonts w:cs="Arial"/>
          <w:noProof w:val="0"/>
          <w:sz w:val="24"/>
          <w:lang w:val="en-GB"/>
        </w:rPr>
        <w:tab/>
      </w:r>
      <w:r w:rsidR="003912B7">
        <w:rPr>
          <w:rFonts w:cs="Arial"/>
          <w:noProof w:val="0"/>
          <w:sz w:val="24"/>
          <w:lang w:val="en-GB"/>
        </w:rPr>
        <w:tab/>
      </w:r>
      <w:r w:rsidR="00E24E49" w:rsidRPr="00E24E49">
        <w:rPr>
          <w:rFonts w:cs="Arial"/>
          <w:noProof w:val="0"/>
          <w:sz w:val="24"/>
          <w:lang w:val="en-GB"/>
        </w:rPr>
        <w:t>R4-1903118</w:t>
      </w:r>
      <w:bookmarkStart w:id="0" w:name="_GoBack"/>
      <w:bookmarkEnd w:id="0"/>
    </w:p>
    <w:p w14:paraId="2702CFD0" w14:textId="77777777" w:rsidR="00627BF8" w:rsidRPr="002056B8" w:rsidRDefault="0045267C" w:rsidP="00627BF8">
      <w:pPr>
        <w:pStyle w:val="Header"/>
        <w:rPr>
          <w:noProof w:val="0"/>
          <w:sz w:val="24"/>
          <w:szCs w:val="24"/>
          <w:lang w:val="en-GB" w:eastAsia="zh-CN"/>
        </w:rPr>
      </w:pPr>
      <w:r>
        <w:rPr>
          <w:noProof w:val="0"/>
          <w:sz w:val="24"/>
          <w:szCs w:val="24"/>
          <w:lang w:val="en-GB" w:eastAsia="zh-CN"/>
        </w:rPr>
        <w:t>2019</w:t>
      </w:r>
    </w:p>
    <w:p w14:paraId="31EB382E" w14:textId="77777777"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14:paraId="27D6F97B" w14:textId="390354E6"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137A93">
        <w:rPr>
          <w:rFonts w:ascii="Arial" w:hAnsi="Arial" w:cs="Arial"/>
          <w:b/>
          <w:sz w:val="24"/>
        </w:rPr>
        <w:t>8</w:t>
      </w:r>
      <w:r w:rsidR="00842773">
        <w:rPr>
          <w:rFonts w:ascii="Arial" w:hAnsi="Arial" w:cs="Arial"/>
          <w:b/>
          <w:sz w:val="24"/>
        </w:rPr>
        <w:t>.</w:t>
      </w:r>
      <w:r w:rsidR="00137A93">
        <w:rPr>
          <w:rFonts w:ascii="Arial" w:hAnsi="Arial" w:cs="Arial"/>
          <w:b/>
          <w:sz w:val="24"/>
        </w:rPr>
        <w:t>4</w:t>
      </w:r>
      <w:r w:rsidR="00842773">
        <w:rPr>
          <w:rFonts w:ascii="Arial" w:hAnsi="Arial" w:cs="Arial"/>
          <w:b/>
          <w:sz w:val="24"/>
        </w:rPr>
        <w:t>.</w:t>
      </w:r>
      <w:r w:rsidR="00137A93">
        <w:rPr>
          <w:rFonts w:ascii="Arial" w:hAnsi="Arial" w:cs="Arial"/>
          <w:b/>
          <w:sz w:val="24"/>
        </w:rPr>
        <w:t>2</w:t>
      </w:r>
    </w:p>
    <w:p w14:paraId="7D2DA312"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Pr>
          <w:rFonts w:ascii="Arial" w:hAnsi="Arial" w:cs="Arial"/>
          <w:b/>
          <w:sz w:val="24"/>
        </w:rPr>
        <w:t>Qualcomm Inc.</w:t>
      </w:r>
    </w:p>
    <w:p w14:paraId="5AD5DD01" w14:textId="77777777"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3912B7">
        <w:rPr>
          <w:rFonts w:ascii="Arial" w:hAnsi="Arial" w:cs="Arial"/>
          <w:b/>
          <w:sz w:val="24"/>
        </w:rPr>
        <w:t xml:space="preserve">On NR V2X </w:t>
      </w:r>
      <w:r w:rsidR="0045267C">
        <w:rPr>
          <w:rFonts w:ascii="Arial" w:hAnsi="Arial" w:cs="Arial"/>
          <w:b/>
          <w:sz w:val="24"/>
        </w:rPr>
        <w:t>in-band emission model</w:t>
      </w:r>
    </w:p>
    <w:p w14:paraId="598C45C1"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42773">
        <w:rPr>
          <w:rFonts w:ascii="Arial" w:hAnsi="Arial" w:cs="Arial"/>
          <w:b/>
          <w:sz w:val="24"/>
        </w:rPr>
        <w:t>Discussion</w:t>
      </w:r>
    </w:p>
    <w:p w14:paraId="755CE782" w14:textId="77777777" w:rsidR="004B515E" w:rsidRPr="00224A01" w:rsidRDefault="004B515E" w:rsidP="009C2D12">
      <w:pPr>
        <w:pStyle w:val="Heading1"/>
        <w:rPr>
          <w:lang w:val="en-US" w:eastAsia="zh-CN"/>
        </w:rPr>
      </w:pPr>
      <w:r w:rsidRPr="00224A01">
        <w:rPr>
          <w:lang w:val="en-US" w:eastAsia="zh-CN"/>
        </w:rPr>
        <w:t>Introduction</w:t>
      </w:r>
    </w:p>
    <w:p w14:paraId="082A63BC" w14:textId="3CD713AD" w:rsidR="00E41DB4" w:rsidRDefault="00842773" w:rsidP="00844D93">
      <w:pPr>
        <w:jc w:val="both"/>
      </w:pPr>
      <w:r>
        <w:t>At RAN</w:t>
      </w:r>
      <w:r w:rsidR="00EB0FD8">
        <w:t>1</w:t>
      </w:r>
      <w:r>
        <w:t xml:space="preserve"> #</w:t>
      </w:r>
      <w:r w:rsidR="00EB0FD8">
        <w:t>94</w:t>
      </w:r>
      <w:r>
        <w:t>, RAN1 sent a</w:t>
      </w:r>
      <w:r w:rsidR="00E41DB4">
        <w:t xml:space="preserve"> LS to RAN4 to clarify the RF/RRM design assumptions that could be ap</w:t>
      </w:r>
      <w:r w:rsidR="00E7251D">
        <w:t xml:space="preserve">plied to the NR V2X studies [1]. </w:t>
      </w:r>
      <w:r>
        <w:t>One of the clarifying questions is on the IBE model. In RAN4#89, a LS response has answered that question 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1DB4" w:rsidRPr="00B41F00" w14:paraId="3A461A48" w14:textId="77777777" w:rsidTr="00D6028B">
        <w:tc>
          <w:tcPr>
            <w:tcW w:w="9855" w:type="dxa"/>
            <w:tcBorders>
              <w:top w:val="single" w:sz="4" w:space="0" w:color="auto"/>
              <w:left w:val="single" w:sz="4" w:space="0" w:color="auto"/>
              <w:bottom w:val="single" w:sz="4" w:space="0" w:color="auto"/>
              <w:right w:val="single" w:sz="4" w:space="0" w:color="auto"/>
            </w:tcBorders>
            <w:shd w:val="clear" w:color="auto" w:fill="auto"/>
          </w:tcPr>
          <w:p w14:paraId="5D40E05D" w14:textId="77777777" w:rsidR="007B64F4" w:rsidRPr="00842773" w:rsidRDefault="007B64F4" w:rsidP="00842773">
            <w:pPr>
              <w:spacing w:before="240"/>
              <w:rPr>
                <w:rFonts w:ascii="Arial" w:hAnsi="Arial" w:cs="Arial"/>
                <w:bCs/>
                <w:lang w:eastAsia="ko-KR"/>
              </w:rPr>
            </w:pPr>
            <w:r w:rsidRPr="00842773">
              <w:rPr>
                <w:rFonts w:ascii="Arial" w:hAnsi="Arial" w:cs="Arial"/>
                <w:b/>
                <w:color w:val="000000"/>
                <w:lang w:eastAsia="zh-CN"/>
              </w:rPr>
              <w:t xml:space="preserve">Question 2: </w:t>
            </w:r>
            <w:r w:rsidRPr="00842773">
              <w:rPr>
                <w:rFonts w:ascii="Arial" w:hAnsi="Arial" w:cs="Arial"/>
                <w:color w:val="000000"/>
                <w:lang w:eastAsia="zh-CN"/>
              </w:rPr>
              <w:t xml:space="preserve">RAN1 would like to know whether IBE model defined in Section A.2.1.5 in TR 36.843 is still applicable to NR </w:t>
            </w:r>
            <w:proofErr w:type="spellStart"/>
            <w:r w:rsidRPr="00842773">
              <w:rPr>
                <w:rFonts w:ascii="Arial" w:hAnsi="Arial" w:cs="Arial"/>
                <w:color w:val="000000"/>
                <w:lang w:eastAsia="zh-CN"/>
              </w:rPr>
              <w:t>sidelink</w:t>
            </w:r>
            <w:proofErr w:type="spellEnd"/>
            <w:r w:rsidRPr="00842773">
              <w:rPr>
                <w:rFonts w:ascii="Arial" w:hAnsi="Arial" w:cs="Arial"/>
                <w:color w:val="000000"/>
                <w:lang w:eastAsia="zh-CN"/>
              </w:rPr>
              <w:t xml:space="preserve"> transmission in FR1, including OFDMA and SC-OFDMA. If the model is not applicable, RAN1 would like to request guidance from RAN4 on an appropriate model for system-level simulations.</w:t>
            </w:r>
          </w:p>
          <w:p w14:paraId="1CEC2B0D" w14:textId="77777777" w:rsidR="007B64F4" w:rsidRPr="007B64F4" w:rsidRDefault="007B64F4" w:rsidP="007B64F4">
            <w:pPr>
              <w:pStyle w:val="Header"/>
              <w:tabs>
                <w:tab w:val="left" w:pos="720"/>
              </w:tabs>
              <w:spacing w:after="120"/>
              <w:ind w:left="360"/>
              <w:rPr>
                <w:rFonts w:cs="Arial"/>
                <w:b w:val="0"/>
                <w:lang w:eastAsia="ko-KR"/>
              </w:rPr>
            </w:pPr>
            <w:r>
              <w:rPr>
                <w:rFonts w:cs="Arial"/>
                <w:b w:val="0"/>
                <w:bCs/>
                <w:lang w:eastAsia="ko-KR"/>
              </w:rPr>
              <w:t xml:space="preserve">Answer 2: </w:t>
            </w:r>
            <w:r w:rsidRPr="007B64F4">
              <w:rPr>
                <w:rFonts w:cs="Arial"/>
                <w:b w:val="0"/>
                <w:lang w:eastAsia="ko-KR"/>
              </w:rPr>
              <w:t xml:space="preserve">RAN4 has a common understanding IBE models for V2X SL can be improved comparing to the NR UL IBE model defined in TS 38.101-1 </w:t>
            </w:r>
            <w:r w:rsidRPr="007B64F4">
              <w:rPr>
                <w:rFonts w:cs="Arial"/>
                <w:b w:val="0"/>
                <w:bCs/>
                <w:lang w:eastAsia="ko-KR"/>
              </w:rPr>
              <w:t>Section 6.4.2.3</w:t>
            </w:r>
            <w:r w:rsidRPr="007B64F4">
              <w:rPr>
                <w:rFonts w:cs="Arial"/>
                <w:b w:val="0"/>
                <w:lang w:eastAsia="ko-KR"/>
              </w:rPr>
              <w:t xml:space="preserve">. RAN4 will further study NR FR1 V2X IBE model and inform RAN1 on final conclusions. (Note: </w:t>
            </w:r>
            <w:r w:rsidRPr="007B64F4">
              <w:rPr>
                <w:rFonts w:cs="Arial"/>
                <w:b w:val="0"/>
                <w:bCs/>
                <w:lang w:eastAsia="ko-KR"/>
              </w:rPr>
              <w:t>The possible IBE model improvements are currently considered only for RAN1 evaluation. The actual RAN4 IBE requirements will be decided in WI stage).</w:t>
            </w:r>
          </w:p>
          <w:p w14:paraId="2B3C4E57" w14:textId="77777777" w:rsidR="007B64F4" w:rsidRPr="007B64F4" w:rsidRDefault="007B64F4" w:rsidP="007B64F4">
            <w:pPr>
              <w:pStyle w:val="Header"/>
              <w:tabs>
                <w:tab w:val="left" w:pos="720"/>
              </w:tabs>
              <w:spacing w:after="120"/>
              <w:ind w:left="360"/>
              <w:rPr>
                <w:rFonts w:cs="Arial"/>
                <w:b w:val="0"/>
                <w:lang w:eastAsia="ko-KR"/>
              </w:rPr>
            </w:pPr>
            <w:r w:rsidRPr="007B64F4">
              <w:rPr>
                <w:rFonts w:cs="Arial"/>
                <w:b w:val="0"/>
                <w:lang w:eastAsia="ko-KR"/>
              </w:rPr>
              <w:t xml:space="preserve">As an intermediate solution RAN1 can use NR FR1 UL IBE model defined in the TS 38.101-1 Section 6.4.2.3 as a baseline approach </w:t>
            </w:r>
            <w:r w:rsidRPr="007B64F4">
              <w:rPr>
                <w:rFonts w:cs="Arial"/>
                <w:b w:val="0"/>
                <w:bCs/>
                <w:lang w:eastAsia="ko-KR"/>
              </w:rPr>
              <w:t>for both waveforms. T</w:t>
            </w:r>
            <w:r w:rsidRPr="007B64F4">
              <w:rPr>
                <w:rFonts w:cs="Arial"/>
                <w:b w:val="0"/>
                <w:lang w:eastAsia="ko-KR"/>
              </w:rPr>
              <w:t>he following initial IBE models defined in the table below can be used as an approach for evaluations till further feedback from RAN4:</w:t>
            </w:r>
          </w:p>
          <w:p w14:paraId="4396376C" w14:textId="77777777" w:rsidR="007B64F4" w:rsidRPr="007B64F4" w:rsidRDefault="007B64F4" w:rsidP="007B64F4">
            <w:pPr>
              <w:pStyle w:val="Header"/>
              <w:widowControl/>
              <w:numPr>
                <w:ilvl w:val="0"/>
                <w:numId w:val="25"/>
              </w:numPr>
              <w:tabs>
                <w:tab w:val="left" w:pos="720"/>
                <w:tab w:val="center" w:pos="4153"/>
                <w:tab w:val="right" w:pos="8306"/>
              </w:tabs>
              <w:overflowPunct/>
              <w:autoSpaceDE/>
              <w:autoSpaceDN/>
              <w:adjustRightInd/>
              <w:spacing w:after="120"/>
              <w:textAlignment w:val="auto"/>
              <w:rPr>
                <w:rFonts w:cs="Arial"/>
                <w:b w:val="0"/>
                <w:bCs/>
                <w:lang w:eastAsia="ko-KR"/>
              </w:rPr>
            </w:pPr>
            <w:r w:rsidRPr="007B64F4">
              <w:rPr>
                <w:rFonts w:cs="Arial"/>
                <w:b w:val="0"/>
                <w:bCs/>
                <w:lang w:eastAsia="ko-KR"/>
              </w:rPr>
              <w:t>Model 1: {W, X1, X2, Y1, Y2, Z1, Z2, Z3 and Z4} = {3, 6, 3, 3, 3, 3, 3, 3, 3} (note: this model is using same approach as in TR 36.843)</w:t>
            </w:r>
          </w:p>
          <w:p w14:paraId="74D8FF93" w14:textId="77777777" w:rsidR="007B64F4" w:rsidRPr="007B64F4" w:rsidRDefault="007B64F4" w:rsidP="007B64F4">
            <w:pPr>
              <w:pStyle w:val="Header"/>
              <w:widowControl/>
              <w:numPr>
                <w:ilvl w:val="0"/>
                <w:numId w:val="25"/>
              </w:numPr>
              <w:tabs>
                <w:tab w:val="left" w:pos="720"/>
                <w:tab w:val="center" w:pos="4153"/>
                <w:tab w:val="right" w:pos="8306"/>
              </w:tabs>
              <w:overflowPunct/>
              <w:autoSpaceDE/>
              <w:autoSpaceDN/>
              <w:adjustRightInd/>
              <w:spacing w:after="120"/>
              <w:textAlignment w:val="auto"/>
              <w:rPr>
                <w:rFonts w:cs="Arial"/>
                <w:b w:val="0"/>
                <w:bCs/>
                <w:lang w:eastAsia="ko-KR"/>
              </w:rPr>
            </w:pPr>
            <w:r w:rsidRPr="007B64F4">
              <w:rPr>
                <w:rFonts w:cs="Arial"/>
                <w:b w:val="0"/>
                <w:bCs/>
                <w:lang w:eastAsia="ko-KR"/>
              </w:rPr>
              <w:t>Note that other models are under discussion in RAN4 and may be provided at a later stage.</w:t>
            </w:r>
          </w:p>
          <w:p w14:paraId="43D1A655" w14:textId="77777777" w:rsidR="007B64F4" w:rsidRDefault="007B64F4" w:rsidP="007B64F4">
            <w:pPr>
              <w:pStyle w:val="Header"/>
              <w:tabs>
                <w:tab w:val="left" w:pos="720"/>
              </w:tabs>
              <w:spacing w:after="120"/>
              <w:ind w:left="360"/>
              <w:rPr>
                <w:rFonts w:cs="Arial"/>
                <w:bCs/>
                <w:lang w:eastAsia="ko-KR"/>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1106"/>
              <w:gridCol w:w="1219"/>
              <w:gridCol w:w="4104"/>
              <w:gridCol w:w="1628"/>
            </w:tblGrid>
            <w:tr w:rsidR="007B64F4" w14:paraId="5E978392" w14:textId="77777777" w:rsidTr="007B64F4">
              <w:trPr>
                <w:trHeight w:val="339"/>
                <w:jc w:val="center"/>
              </w:trPr>
              <w:tc>
                <w:tcPr>
                  <w:tcW w:w="783" w:type="pct"/>
                  <w:tcBorders>
                    <w:top w:val="single" w:sz="4" w:space="0" w:color="auto"/>
                    <w:left w:val="single" w:sz="4" w:space="0" w:color="auto"/>
                    <w:bottom w:val="single" w:sz="4" w:space="0" w:color="auto"/>
                    <w:right w:val="single" w:sz="4" w:space="0" w:color="auto"/>
                  </w:tcBorders>
                  <w:vAlign w:val="center"/>
                  <w:hideMark/>
                </w:tcPr>
                <w:p w14:paraId="5CE6F580" w14:textId="77777777" w:rsidR="007B64F4" w:rsidRPr="007B64F4" w:rsidRDefault="007B64F4" w:rsidP="007B64F4">
                  <w:pPr>
                    <w:pStyle w:val="Header"/>
                    <w:tabs>
                      <w:tab w:val="left" w:pos="720"/>
                    </w:tabs>
                    <w:spacing w:after="120"/>
                    <w:ind w:left="360"/>
                    <w:rPr>
                      <w:rFonts w:ascii="Times New Roman" w:hAnsi="Times New Roman" w:cs="Arial"/>
                      <w:b w:val="0"/>
                      <w:bCs/>
                      <w:lang w:eastAsia="ko-KR"/>
                    </w:rPr>
                  </w:pPr>
                  <w:r w:rsidRPr="007B64F4">
                    <w:rPr>
                      <w:rFonts w:cs="Arial"/>
                      <w:b w:val="0"/>
                      <w:bCs/>
                      <w:lang w:eastAsia="ko-KR"/>
                    </w:rPr>
                    <w:t>Parameter description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23651B8C"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Unit</w:t>
                  </w:r>
                </w:p>
              </w:tc>
              <w:tc>
                <w:tcPr>
                  <w:tcW w:w="2786" w:type="pct"/>
                  <w:gridSpan w:val="2"/>
                  <w:tcBorders>
                    <w:top w:val="single" w:sz="4" w:space="0" w:color="auto"/>
                    <w:left w:val="single" w:sz="4" w:space="0" w:color="auto"/>
                    <w:bottom w:val="single" w:sz="4" w:space="0" w:color="auto"/>
                    <w:right w:val="single" w:sz="4" w:space="0" w:color="auto"/>
                  </w:tcBorders>
                  <w:vAlign w:val="center"/>
                  <w:hideMark/>
                </w:tcPr>
                <w:p w14:paraId="78DEA0D9"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Limit (NOTE 1)</w:t>
                  </w:r>
                </w:p>
              </w:tc>
              <w:tc>
                <w:tcPr>
                  <w:tcW w:w="851" w:type="pct"/>
                  <w:tcBorders>
                    <w:top w:val="single" w:sz="4" w:space="0" w:color="auto"/>
                    <w:left w:val="single" w:sz="4" w:space="0" w:color="auto"/>
                    <w:bottom w:val="single" w:sz="4" w:space="0" w:color="auto"/>
                    <w:right w:val="single" w:sz="4" w:space="0" w:color="auto"/>
                  </w:tcBorders>
                  <w:vAlign w:val="center"/>
                  <w:hideMark/>
                </w:tcPr>
                <w:p w14:paraId="0FCDA09E"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Applicable Frequencies</w:t>
                  </w:r>
                </w:p>
              </w:tc>
            </w:tr>
            <w:tr w:rsidR="007B64F4" w14:paraId="472D76C6" w14:textId="77777777" w:rsidTr="007B64F4">
              <w:trPr>
                <w:trHeight w:val="415"/>
                <w:jc w:val="center"/>
              </w:trPr>
              <w:tc>
                <w:tcPr>
                  <w:tcW w:w="783" w:type="pct"/>
                  <w:tcBorders>
                    <w:top w:val="single" w:sz="4" w:space="0" w:color="auto"/>
                    <w:left w:val="single" w:sz="4" w:space="0" w:color="auto"/>
                    <w:bottom w:val="single" w:sz="4" w:space="0" w:color="auto"/>
                    <w:right w:val="single" w:sz="4" w:space="0" w:color="auto"/>
                  </w:tcBorders>
                  <w:vAlign w:val="center"/>
                  <w:hideMark/>
                </w:tcPr>
                <w:p w14:paraId="759F5E63"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General</w:t>
                  </w:r>
                </w:p>
              </w:tc>
              <w:tc>
                <w:tcPr>
                  <w:tcW w:w="579" w:type="pct"/>
                  <w:tcBorders>
                    <w:top w:val="single" w:sz="4" w:space="0" w:color="auto"/>
                    <w:left w:val="single" w:sz="4" w:space="0" w:color="auto"/>
                    <w:bottom w:val="single" w:sz="4" w:space="0" w:color="auto"/>
                    <w:right w:val="single" w:sz="4" w:space="0" w:color="auto"/>
                  </w:tcBorders>
                  <w:vAlign w:val="center"/>
                  <w:hideMark/>
                </w:tcPr>
                <w:p w14:paraId="7DF500CF"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w:t>
                  </w:r>
                </w:p>
              </w:tc>
              <w:tc>
                <w:tcPr>
                  <w:tcW w:w="2786" w:type="pct"/>
                  <w:gridSpan w:val="2"/>
                  <w:tcBorders>
                    <w:top w:val="single" w:sz="4" w:space="0" w:color="auto"/>
                    <w:left w:val="single" w:sz="4" w:space="0" w:color="auto"/>
                    <w:bottom w:val="single" w:sz="4" w:space="0" w:color="auto"/>
                    <w:right w:val="single" w:sz="4" w:space="0" w:color="auto"/>
                  </w:tcBorders>
                  <w:vAlign w:val="center"/>
                  <w:hideMark/>
                </w:tcPr>
                <w:p w14:paraId="3B2D075A" w14:textId="77777777" w:rsidR="007B64F4" w:rsidRDefault="007B64F4" w:rsidP="007B64F4">
                  <w:pPr>
                    <w:pStyle w:val="Header"/>
                    <w:tabs>
                      <w:tab w:val="left" w:pos="720"/>
                    </w:tabs>
                    <w:spacing w:after="120"/>
                    <w:ind w:left="360"/>
                    <w:rPr>
                      <w:rFonts w:cs="Arial"/>
                      <w:bCs/>
                      <w:lang w:eastAsia="ko-KR"/>
                    </w:rPr>
                  </w:pPr>
                  <w:r>
                    <w:rPr>
                      <w:rFonts w:eastAsiaTheme="minorEastAsia" w:cs="Arial"/>
                      <w:bCs/>
                      <w:sz w:val="20"/>
                      <w:lang w:val="en-GB" w:eastAsia="ko-KR"/>
                    </w:rPr>
                    <w:object w:dxaOrig="3972" w:dyaOrig="984" w14:anchorId="2D0C9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pt;height:49.05pt" o:ole="">
                        <v:imagedata r:id="rId12" o:title=""/>
                      </v:shape>
                      <o:OLEObject Type="Embed" ProgID="Equation.DSMT4" ShapeID="_x0000_i1025" DrawAspect="Content" ObjectID="_1615369871" r:id="rId13"/>
                    </w:object>
                  </w:r>
                </w:p>
              </w:tc>
              <w:tc>
                <w:tcPr>
                  <w:tcW w:w="851" w:type="pct"/>
                  <w:tcBorders>
                    <w:top w:val="single" w:sz="4" w:space="0" w:color="auto"/>
                    <w:left w:val="single" w:sz="4" w:space="0" w:color="auto"/>
                    <w:bottom w:val="single" w:sz="4" w:space="0" w:color="auto"/>
                    <w:right w:val="single" w:sz="4" w:space="0" w:color="auto"/>
                  </w:tcBorders>
                  <w:vAlign w:val="center"/>
                  <w:hideMark/>
                </w:tcPr>
                <w:p w14:paraId="497FCECD"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Any non-allocated (NOTE 2)</w:t>
                  </w:r>
                </w:p>
              </w:tc>
            </w:tr>
            <w:tr w:rsidR="007B64F4" w14:paraId="403815DE" w14:textId="77777777" w:rsidTr="007B64F4">
              <w:trPr>
                <w:trHeight w:val="11"/>
                <w:jc w:val="center"/>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36325DC6"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IQ Image</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5445896"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w:t>
                  </w:r>
                </w:p>
              </w:tc>
              <w:tc>
                <w:tcPr>
                  <w:tcW w:w="638" w:type="pct"/>
                  <w:tcBorders>
                    <w:top w:val="single" w:sz="4" w:space="0" w:color="auto"/>
                    <w:left w:val="single" w:sz="4" w:space="0" w:color="auto"/>
                    <w:bottom w:val="single" w:sz="4" w:space="0" w:color="auto"/>
                    <w:right w:val="single" w:sz="4" w:space="0" w:color="auto"/>
                  </w:tcBorders>
                  <w:vAlign w:val="center"/>
                  <w:hideMark/>
                </w:tcPr>
                <w:p w14:paraId="6A073C4B"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-28 - </w:t>
                  </w:r>
                  <w:r w:rsidRPr="007B64F4">
                    <w:rPr>
                      <w:rFonts w:cs="Arial"/>
                      <w:b w:val="0"/>
                      <w:bCs/>
                      <w:i/>
                      <w:lang w:eastAsia="ko-KR"/>
                    </w:rPr>
                    <w:t>Y1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2A1063A"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Image frequencies when output power &gt; 10 dBm</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6678B802"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Image frequencies (NOTES 2, 3)</w:t>
                  </w:r>
                </w:p>
              </w:tc>
            </w:tr>
            <w:tr w:rsidR="007B64F4" w14:paraId="43B0E42F" w14:textId="77777777" w:rsidTr="007B64F4">
              <w:trPr>
                <w:trHeight w:val="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BCA21" w14:textId="77777777" w:rsidR="007B64F4" w:rsidRP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1DB8" w14:textId="77777777" w:rsidR="007B64F4" w:rsidRP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755EEB7D"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-25 - </w:t>
                  </w:r>
                  <w:r w:rsidRPr="007B64F4">
                    <w:rPr>
                      <w:rFonts w:cs="Arial"/>
                      <w:b w:val="0"/>
                      <w:bCs/>
                      <w:i/>
                      <w:lang w:eastAsia="ko-KR"/>
                    </w:rPr>
                    <w:t>Y2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57D1DD5"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Image frequencies when output power </w:t>
                  </w:r>
                  <w:r w:rsidRPr="007B64F4">
                    <w:rPr>
                      <w:rFonts w:cs="Arial" w:hint="eastAsia"/>
                      <w:b w:val="0"/>
                      <w:bCs/>
                      <w:lang w:eastAsia="ko-KR"/>
                    </w:rPr>
                    <w:t>≤</w:t>
                  </w:r>
                  <w:r w:rsidRPr="007B64F4">
                    <w:rPr>
                      <w:rFonts w:cs="Arial"/>
                      <w:b w:val="0"/>
                      <w:bCs/>
                      <w:lang w:eastAsia="ko-KR"/>
                    </w:rPr>
                    <w:t xml:space="preserve">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654C" w14:textId="77777777" w:rsidR="007B64F4" w:rsidRPr="007B64F4" w:rsidRDefault="007B64F4" w:rsidP="007B64F4">
                  <w:pPr>
                    <w:rPr>
                      <w:rFonts w:cs="Arial"/>
                      <w:bCs/>
                      <w:lang w:eastAsia="ko-KR"/>
                    </w:rPr>
                  </w:pPr>
                </w:p>
              </w:tc>
            </w:tr>
            <w:tr w:rsidR="007B64F4" w14:paraId="317BEC51" w14:textId="77777777" w:rsidTr="007B64F4">
              <w:trPr>
                <w:trHeight w:val="121"/>
                <w:jc w:val="center"/>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742EB52A"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Carrier leakage</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3EE90125"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dBc</w:t>
                  </w:r>
                </w:p>
              </w:tc>
              <w:tc>
                <w:tcPr>
                  <w:tcW w:w="638" w:type="pct"/>
                  <w:tcBorders>
                    <w:top w:val="single" w:sz="4" w:space="0" w:color="auto"/>
                    <w:left w:val="single" w:sz="4" w:space="0" w:color="auto"/>
                    <w:bottom w:val="single" w:sz="4" w:space="0" w:color="auto"/>
                    <w:right w:val="single" w:sz="4" w:space="0" w:color="auto"/>
                  </w:tcBorders>
                  <w:vAlign w:val="center"/>
                  <w:hideMark/>
                </w:tcPr>
                <w:p w14:paraId="0BDDD012"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-28 - </w:t>
                  </w:r>
                  <w:r w:rsidRPr="007B64F4">
                    <w:rPr>
                      <w:rFonts w:cs="Arial"/>
                      <w:b w:val="0"/>
                      <w:bCs/>
                      <w:i/>
                      <w:lang w:eastAsia="ko-KR"/>
                    </w:rPr>
                    <w:t>Z1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783FE08"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Output power &gt; 10 dBm </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7DB55B49"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Carrier leakage frequency (NOTES 4, 5)</w:t>
                  </w:r>
                </w:p>
              </w:tc>
            </w:tr>
            <w:tr w:rsidR="007B64F4" w14:paraId="086C89B8" w14:textId="77777777" w:rsidTr="007B64F4">
              <w:trPr>
                <w:trHeight w:val="1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AF5F" w14:textId="77777777"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C873" w14:textId="77777777"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48A79DD9"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-25 - </w:t>
                  </w:r>
                  <w:r w:rsidRPr="007B64F4">
                    <w:rPr>
                      <w:rFonts w:cs="Arial"/>
                      <w:b w:val="0"/>
                      <w:bCs/>
                      <w:i/>
                      <w:lang w:eastAsia="ko-KR"/>
                    </w:rPr>
                    <w:t>Z2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15F5EE7"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0 dBm </w:t>
                  </w:r>
                  <w:r w:rsidRPr="007B64F4">
                    <w:rPr>
                      <w:rFonts w:cs="Arial" w:hint="eastAsia"/>
                      <w:b w:val="0"/>
                      <w:bCs/>
                      <w:lang w:eastAsia="ko-KR"/>
                    </w:rPr>
                    <w:t>≤</w:t>
                  </w:r>
                  <w:r w:rsidRPr="007B64F4">
                    <w:rPr>
                      <w:rFonts w:cs="Arial"/>
                      <w:b w:val="0"/>
                      <w:bCs/>
                      <w:lang w:eastAsia="ko-KR"/>
                    </w:rPr>
                    <w:t xml:space="preserve"> Output power </w:t>
                  </w:r>
                  <w:r w:rsidRPr="007B64F4">
                    <w:rPr>
                      <w:rFonts w:cs="Arial" w:hint="eastAsia"/>
                      <w:b w:val="0"/>
                      <w:bCs/>
                      <w:lang w:eastAsia="ko-KR"/>
                    </w:rPr>
                    <w:t>≤</w:t>
                  </w:r>
                  <w:r w:rsidRPr="007B64F4">
                    <w:rPr>
                      <w:rFonts w:cs="Arial"/>
                      <w:b w:val="0"/>
                      <w:bCs/>
                      <w:lang w:eastAsia="ko-KR"/>
                    </w:rPr>
                    <w:t>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8B24A" w14:textId="77777777" w:rsidR="007B64F4" w:rsidRDefault="007B64F4" w:rsidP="007B64F4">
                  <w:pPr>
                    <w:rPr>
                      <w:rFonts w:cs="Arial"/>
                      <w:bCs/>
                      <w:lang w:eastAsia="ko-KR"/>
                    </w:rPr>
                  </w:pPr>
                </w:p>
              </w:tc>
            </w:tr>
            <w:tr w:rsidR="007B64F4" w14:paraId="66DB1140" w14:textId="77777777" w:rsidTr="007B64F4">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BFA3C" w14:textId="77777777"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B7F2" w14:textId="77777777"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1EFCAB30"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-20 - </w:t>
                  </w:r>
                  <w:r w:rsidRPr="007B64F4">
                    <w:rPr>
                      <w:rFonts w:cs="Arial"/>
                      <w:b w:val="0"/>
                      <w:bCs/>
                      <w:i/>
                      <w:lang w:eastAsia="ko-KR"/>
                    </w:rPr>
                    <w:t>Z3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E4015F8"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-30 dBm </w:t>
                  </w:r>
                  <w:r w:rsidRPr="007B64F4">
                    <w:rPr>
                      <w:rFonts w:cs="Arial" w:hint="eastAsia"/>
                      <w:b w:val="0"/>
                      <w:bCs/>
                      <w:lang w:eastAsia="ko-KR"/>
                    </w:rPr>
                    <w:t>≤</w:t>
                  </w:r>
                  <w:r w:rsidRPr="007B64F4">
                    <w:rPr>
                      <w:rFonts w:cs="Arial"/>
                      <w:b w:val="0"/>
                      <w:bCs/>
                      <w:lang w:eastAsia="ko-KR"/>
                    </w:rPr>
                    <w:t xml:space="preserve"> Output power </w:t>
                  </w:r>
                  <w:r w:rsidRPr="007B64F4">
                    <w:rPr>
                      <w:rFonts w:cs="Arial" w:hint="eastAsia"/>
                      <w:b w:val="0"/>
                      <w:bCs/>
                      <w:lang w:eastAsia="ko-KR"/>
                    </w:rPr>
                    <w:t>≤</w:t>
                  </w:r>
                  <w:r w:rsidRPr="007B64F4">
                    <w:rPr>
                      <w:rFonts w:cs="Arial"/>
                      <w:b w:val="0"/>
                      <w:bCs/>
                      <w:lang w:eastAsia="ko-KR"/>
                    </w:rPr>
                    <w:t xml:space="preserve">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BA83" w14:textId="77777777" w:rsidR="007B64F4" w:rsidRDefault="007B64F4" w:rsidP="007B64F4">
                  <w:pPr>
                    <w:rPr>
                      <w:rFonts w:cs="Arial"/>
                      <w:bCs/>
                      <w:lang w:eastAsia="ko-KR"/>
                    </w:rPr>
                  </w:pPr>
                </w:p>
              </w:tc>
            </w:tr>
            <w:tr w:rsidR="007B64F4" w14:paraId="47AF69C1" w14:textId="77777777" w:rsidTr="007B64F4">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1A009" w14:textId="77777777"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566A9" w14:textId="77777777"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CD06917"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-10 - </w:t>
                  </w:r>
                  <w:r w:rsidRPr="007B64F4">
                    <w:rPr>
                      <w:rFonts w:cs="Arial"/>
                      <w:b w:val="0"/>
                      <w:bCs/>
                      <w:i/>
                      <w:lang w:eastAsia="ko-KR"/>
                    </w:rPr>
                    <w:t>Z4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25C6F65"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-40 dBm </w:t>
                  </w:r>
                  <w:r w:rsidRPr="007B64F4">
                    <w:rPr>
                      <w:rFonts w:cs="Arial"/>
                      <w:b w:val="0"/>
                      <w:bCs/>
                      <w:lang w:eastAsia="ko-KR"/>
                    </w:rPr>
                    <w:sym w:font="Symbol" w:char="F0A3"/>
                  </w:r>
                  <w:r w:rsidRPr="007B64F4">
                    <w:rPr>
                      <w:rFonts w:cs="Arial"/>
                      <w:b w:val="0"/>
                      <w:bCs/>
                      <w:lang w:eastAsia="ko-KR"/>
                    </w:rPr>
                    <w:t xml:space="preserve">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5FF0" w14:textId="77777777" w:rsidR="007B64F4" w:rsidRDefault="007B64F4" w:rsidP="007B64F4">
                  <w:pPr>
                    <w:rPr>
                      <w:rFonts w:cs="Arial"/>
                      <w:bCs/>
                      <w:lang w:eastAsia="ko-KR"/>
                    </w:rPr>
                  </w:pPr>
                </w:p>
              </w:tc>
            </w:tr>
            <w:tr w:rsidR="007B64F4" w14:paraId="710A648E" w14:textId="77777777" w:rsidTr="007B64F4">
              <w:trPr>
                <w:trHeight w:val="339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F78FCC9" w14:textId="77777777" w:rsidR="007B64F4" w:rsidRDefault="007B64F4" w:rsidP="007B64F4">
                  <w:pPr>
                    <w:pStyle w:val="TAN"/>
                    <w:rPr>
                      <w:szCs w:val="18"/>
                    </w:rPr>
                  </w:pPr>
                  <w:r>
                    <w:rPr>
                      <w:szCs w:val="18"/>
                    </w:rPr>
                    <w:lastRenderedPageBreak/>
                    <w:t>NOTE 1:</w:t>
                  </w:r>
                  <w:r>
                    <w:rPr>
                      <w:szCs w:val="18"/>
                    </w:rPr>
                    <w:tab/>
                    <w:t xml:space="preserve">An in-band emissions combined limit is evaluated in each non-allocated RB. For each such RB, the minimum requirement is calculated as the higher of </w:t>
                  </w:r>
                  <w:r>
                    <w:rPr>
                      <w:b/>
                      <w:color w:val="000000" w:themeColor="text1"/>
                      <w:szCs w:val="18"/>
                    </w:rPr>
                    <w:t>P</w:t>
                  </w:r>
                  <w:r>
                    <w:rPr>
                      <w:b/>
                      <w:color w:val="000000" w:themeColor="text1"/>
                      <w:szCs w:val="18"/>
                      <w:vertAlign w:val="subscript"/>
                    </w:rPr>
                    <w:t>RB</w:t>
                  </w:r>
                  <w:r>
                    <w:rPr>
                      <w:b/>
                      <w:color w:val="000000" w:themeColor="text1"/>
                      <w:szCs w:val="18"/>
                    </w:rPr>
                    <w:t xml:space="preserve"> - 30 dB – </w:t>
                  </w:r>
                  <w:r>
                    <w:rPr>
                      <w:b/>
                      <w:i/>
                      <w:color w:val="000000" w:themeColor="text1"/>
                      <w:szCs w:val="18"/>
                    </w:rPr>
                    <w:t>W</w:t>
                  </w:r>
                  <w:r>
                    <w:rPr>
                      <w:szCs w:val="18"/>
                    </w:rPr>
                    <w:t xml:space="preserve"> and the power sum of all limit values (General, IQ Image or Carrier leakage) that apply. P</w:t>
                  </w:r>
                  <w:r>
                    <w:rPr>
                      <w:szCs w:val="18"/>
                      <w:vertAlign w:val="subscript"/>
                    </w:rPr>
                    <w:t>RB</w:t>
                  </w:r>
                  <w:r>
                    <w:rPr>
                      <w:szCs w:val="18"/>
                    </w:rPr>
                    <w:t xml:space="preserve"> is defined in NOTE 10.</w:t>
                  </w:r>
                </w:p>
                <w:p w14:paraId="4F868588" w14:textId="77777777" w:rsidR="007B64F4" w:rsidRDefault="007B64F4" w:rsidP="007B64F4">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6BD9C6D" w14:textId="77777777" w:rsidR="007B64F4" w:rsidRDefault="007B64F4" w:rsidP="007B64F4">
                  <w:pPr>
                    <w:pStyle w:val="TAN"/>
                    <w:rPr>
                      <w:szCs w:val="18"/>
                      <w:lang w:val="en-US"/>
                    </w:rPr>
                  </w:pPr>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p>
                <w:p w14:paraId="6327029F" w14:textId="77777777" w:rsidR="007B64F4" w:rsidRDefault="007B64F4" w:rsidP="007B64F4">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6A9C85DF" w14:textId="77777777" w:rsidR="007B64F4" w:rsidRDefault="007B64F4" w:rsidP="007B64F4">
                  <w:pPr>
                    <w:pStyle w:val="TAN"/>
                    <w:rPr>
                      <w:szCs w:val="18"/>
                      <w:lang w:val="en-US"/>
                    </w:rPr>
                  </w:pPr>
                  <w:r>
                    <w:rPr>
                      <w:szCs w:val="18"/>
                    </w:rPr>
                    <w:t>NOTE 5:</w:t>
                  </w:r>
                  <w:r>
                    <w:rPr>
                      <w:szCs w:val="18"/>
                    </w:rPr>
                    <w:tab/>
                    <w:t>The applicable frequencies for this limit are those that are enclosed in the RBs containing the DC frequency if N</w:t>
                  </w:r>
                  <w:r>
                    <w:rPr>
                      <w:position w:val="-5"/>
                      <w:szCs w:val="18"/>
                      <w:vertAlign w:val="subscript"/>
                    </w:rPr>
                    <w:t>RB</w:t>
                  </w:r>
                  <w:r>
                    <w:rPr>
                      <w:szCs w:val="18"/>
                    </w:rPr>
                    <w:t xml:space="preserve"> is odd, or in the two RBs immediately adjacent to the DC frequency if N</w:t>
                  </w:r>
                  <w:r>
                    <w:rPr>
                      <w:position w:val="-5"/>
                      <w:szCs w:val="18"/>
                      <w:vertAlign w:val="subscript"/>
                    </w:rPr>
                    <w:t>RB</w:t>
                  </w:r>
                  <w:r>
                    <w:rPr>
                      <w:szCs w:val="18"/>
                    </w:rPr>
                    <w:t xml:space="preserve"> is even but excluding any allocated RB.</w:t>
                  </w:r>
                </w:p>
                <w:p w14:paraId="11C89C5F" w14:textId="77777777" w:rsidR="007B64F4" w:rsidRDefault="007B64F4" w:rsidP="007B64F4">
                  <w:pPr>
                    <w:pStyle w:val="TAN"/>
                    <w:rPr>
                      <w:szCs w:val="18"/>
                      <w:lang w:val="en-US"/>
                    </w:rPr>
                  </w:pPr>
                  <w:r>
                    <w:rPr>
                      <w:szCs w:val="18"/>
                    </w:rPr>
                    <w:t>NOTE 6:</w:t>
                  </w:r>
                  <w:r>
                    <w:rPr>
                      <w:szCs w:val="18"/>
                    </w:rPr>
                    <w:tab/>
                    <w:t>L</w:t>
                  </w:r>
                  <w:r>
                    <w:rPr>
                      <w:position w:val="-5"/>
                      <w:szCs w:val="18"/>
                      <w:vertAlign w:val="subscript"/>
                    </w:rPr>
                    <w:t>CRB</w:t>
                  </w:r>
                  <w:r>
                    <w:rPr>
                      <w:szCs w:val="18"/>
                    </w:rPr>
                    <w:t xml:space="preserve"> is the Transmission Bandwidth (see Figure 5.3.3-1 TS 38.101-1).</w:t>
                  </w:r>
                </w:p>
                <w:p w14:paraId="5823B29D" w14:textId="77777777" w:rsidR="007B64F4" w:rsidRDefault="007B64F4" w:rsidP="007B64F4">
                  <w:pPr>
                    <w:pStyle w:val="TAN"/>
                    <w:rPr>
                      <w:szCs w:val="18"/>
                      <w:lang w:val="en-US"/>
                    </w:rPr>
                  </w:pPr>
                  <w:r>
                    <w:rPr>
                      <w:szCs w:val="18"/>
                    </w:rPr>
                    <w:t>NOTE 7:</w:t>
                  </w:r>
                  <w:r>
                    <w:rPr>
                      <w:szCs w:val="18"/>
                    </w:rPr>
                    <w:tab/>
                    <w:t>N</w:t>
                  </w:r>
                  <w:r>
                    <w:rPr>
                      <w:position w:val="-5"/>
                      <w:szCs w:val="18"/>
                      <w:vertAlign w:val="subscript"/>
                    </w:rPr>
                    <w:t>RB</w:t>
                  </w:r>
                  <w:r>
                    <w:rPr>
                      <w:szCs w:val="18"/>
                    </w:rPr>
                    <w:t xml:space="preserve"> is the Transmission Bandwidth Configuration (see Figure 5.3.3-1 TS 38.101-1).</w:t>
                  </w:r>
                </w:p>
                <w:p w14:paraId="6C882386" w14:textId="77777777" w:rsidR="007B64F4" w:rsidRDefault="007B64F4" w:rsidP="007B64F4">
                  <w:pPr>
                    <w:pStyle w:val="TAN"/>
                    <w:rPr>
                      <w:szCs w:val="18"/>
                      <w:lang w:val="en-US"/>
                    </w:rPr>
                  </w:pPr>
                  <w:r>
                    <w:rPr>
                      <w:szCs w:val="18"/>
                    </w:rPr>
                    <w:t>NOTE 8:</w:t>
                  </w:r>
                  <w:r>
                    <w:rPr>
                      <w:szCs w:val="18"/>
                    </w:rPr>
                    <w:tab/>
                    <w:t>EVM s the limit for the modulation format used in the allocated RBs.</w:t>
                  </w:r>
                </w:p>
                <w:p w14:paraId="3DC7BA80" w14:textId="77777777" w:rsidR="007B64F4" w:rsidRDefault="007B64F4" w:rsidP="007B64F4">
                  <w:pPr>
                    <w:pStyle w:val="TAN"/>
                    <w:rPr>
                      <w:szCs w:val="18"/>
                      <w:lang w:val="en-US"/>
                    </w:rPr>
                  </w:pPr>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RB</w:t>
                  </w:r>
                  <w:r>
                    <w:rPr>
                      <w:szCs w:val="18"/>
                    </w:rPr>
                    <w:t xml:space="preserve">= 1 or </w:t>
                  </w:r>
                  <w:r>
                    <w:rPr>
                      <w:rFonts w:ascii="Symbol" w:hAnsi="Symbol"/>
                      <w:szCs w:val="18"/>
                    </w:rPr>
                    <w:t></w:t>
                  </w:r>
                  <w:r>
                    <w:rPr>
                      <w:position w:val="-5"/>
                      <w:szCs w:val="18"/>
                      <w:vertAlign w:val="subscript"/>
                    </w:rPr>
                    <w:t>RB</w:t>
                  </w:r>
                  <w:r>
                    <w:rPr>
                      <w:szCs w:val="18"/>
                    </w:rPr>
                    <w:t>= -1 for the first adjacent RB outside of the allocated bandwidth).</w:t>
                  </w:r>
                </w:p>
                <w:p w14:paraId="324A8CDA" w14:textId="77777777" w:rsidR="007B64F4" w:rsidRDefault="007B64F4" w:rsidP="007B64F4">
                  <w:pPr>
                    <w:pStyle w:val="TAN"/>
                    <w:rPr>
                      <w:rFonts w:cs="Arial"/>
                      <w:bCs/>
                      <w:lang w:eastAsia="ko-KR"/>
                    </w:rPr>
                  </w:pPr>
                  <w:r>
                    <w:rPr>
                      <w:szCs w:val="18"/>
                    </w:rPr>
                    <w:t>NOTE 10:</w:t>
                  </w:r>
                  <w:r>
                    <w:rPr>
                      <w:szCs w:val="18"/>
                    </w:rPr>
                    <w:tab/>
                    <w:t>P</w:t>
                  </w:r>
                  <w:r>
                    <w:rPr>
                      <w:position w:val="-5"/>
                      <w:szCs w:val="18"/>
                      <w:vertAlign w:val="subscript"/>
                    </w:rPr>
                    <w:t>RB</w:t>
                  </w:r>
                  <w:r>
                    <w:rPr>
                      <w:szCs w:val="18"/>
                    </w:rPr>
                    <w:t xml:space="preserve"> is the transmitted power per allocated RB, measured in dBm.</w:t>
                  </w:r>
                </w:p>
              </w:tc>
            </w:tr>
          </w:tbl>
          <w:p w14:paraId="36C081DD" w14:textId="77777777" w:rsidR="007B64F4" w:rsidRDefault="007B64F4" w:rsidP="007B64F4">
            <w:pPr>
              <w:pStyle w:val="Header"/>
              <w:tabs>
                <w:tab w:val="left" w:pos="720"/>
              </w:tabs>
              <w:spacing w:after="120"/>
              <w:ind w:left="360"/>
              <w:rPr>
                <w:rFonts w:cs="Arial"/>
                <w:bCs/>
                <w:sz w:val="20"/>
                <w:lang w:val="en-GB"/>
              </w:rPr>
            </w:pPr>
          </w:p>
          <w:p w14:paraId="1242D2E1" w14:textId="77777777" w:rsidR="007B64F4" w:rsidRDefault="007B64F4" w:rsidP="007B64F4">
            <w:pPr>
              <w:pStyle w:val="ListParagraph"/>
              <w:numPr>
                <w:ilvl w:val="0"/>
                <w:numId w:val="23"/>
              </w:numPr>
              <w:spacing w:before="240" w:after="120"/>
              <w:rPr>
                <w:rFonts w:ascii="Arial" w:hAnsi="Arial" w:cs="Arial"/>
                <w:b/>
                <w:color w:val="000000"/>
                <w:sz w:val="20"/>
                <w:szCs w:val="20"/>
                <w:lang w:val="en-GB" w:eastAsia="zh-CN"/>
              </w:rPr>
            </w:pPr>
            <w:r>
              <w:rPr>
                <w:rFonts w:ascii="Arial" w:hAnsi="Arial" w:cs="Arial"/>
                <w:b/>
                <w:color w:val="000000"/>
                <w:sz w:val="20"/>
                <w:szCs w:val="20"/>
                <w:lang w:val="en-GB" w:eastAsia="zh-CN"/>
              </w:rPr>
              <w:t xml:space="preserve">Question 3: </w:t>
            </w:r>
            <w:r>
              <w:rPr>
                <w:rFonts w:ascii="Arial" w:hAnsi="Arial" w:cs="Arial"/>
                <w:color w:val="000000"/>
                <w:sz w:val="20"/>
                <w:szCs w:val="20"/>
                <w:lang w:val="en-GB" w:eastAsia="zh-CN"/>
              </w:rPr>
              <w:t xml:space="preserve">RAN1 would like to request guidance from RAN4 on an IBE model for </w:t>
            </w:r>
            <w:proofErr w:type="spellStart"/>
            <w:r>
              <w:rPr>
                <w:rFonts w:ascii="Arial" w:hAnsi="Arial" w:cs="Arial"/>
                <w:color w:val="000000"/>
                <w:sz w:val="20"/>
                <w:szCs w:val="20"/>
                <w:lang w:val="en-GB" w:eastAsia="zh-CN"/>
              </w:rPr>
              <w:t>sidelink</w:t>
            </w:r>
            <w:proofErr w:type="spellEnd"/>
            <w:r>
              <w:rPr>
                <w:rFonts w:ascii="Arial" w:hAnsi="Arial" w:cs="Arial"/>
                <w:color w:val="000000"/>
                <w:sz w:val="20"/>
                <w:szCs w:val="20"/>
                <w:lang w:val="en-GB" w:eastAsia="zh-CN"/>
              </w:rPr>
              <w:t xml:space="preserve"> communication in FR2</w:t>
            </w:r>
          </w:p>
          <w:p w14:paraId="28A0C22E" w14:textId="77777777" w:rsidR="00E41DB4" w:rsidRPr="00842773" w:rsidRDefault="007B64F4" w:rsidP="00842773">
            <w:pPr>
              <w:pStyle w:val="Header"/>
              <w:tabs>
                <w:tab w:val="left" w:pos="720"/>
              </w:tabs>
              <w:spacing w:after="120"/>
              <w:ind w:left="360"/>
              <w:rPr>
                <w:rFonts w:cs="Arial"/>
                <w:b w:val="0"/>
                <w:bCs/>
                <w:sz w:val="20"/>
                <w:lang w:val="en-GB" w:eastAsia="ko-KR"/>
              </w:rPr>
            </w:pPr>
            <w:r>
              <w:rPr>
                <w:rFonts w:cs="Arial"/>
                <w:b w:val="0"/>
                <w:bCs/>
                <w:lang w:eastAsia="ko-KR"/>
              </w:rPr>
              <w:t xml:space="preserve">Answer 3: </w:t>
            </w:r>
            <w:r w:rsidRPr="007B64F4">
              <w:rPr>
                <w:rFonts w:cs="Arial"/>
                <w:b w:val="0"/>
                <w:bCs/>
                <w:lang w:eastAsia="ko-KR"/>
              </w:rPr>
              <w:t xml:space="preserve">In the first stage to design NR V2X physical layer, RAN WG4 recommend to consider the IBE requirements in </w:t>
            </w:r>
            <w:r w:rsidRPr="007B64F4">
              <w:rPr>
                <w:rFonts w:cs="Arial"/>
                <w:b w:val="0"/>
                <w:color w:val="000000"/>
                <w:lang w:eastAsia="zh-CN"/>
              </w:rPr>
              <w:t xml:space="preserve">Section 6.4.2.3.4 for power class 3 UE </w:t>
            </w:r>
            <w:r w:rsidRPr="007B64F4">
              <w:rPr>
                <w:rFonts w:cs="Arial"/>
                <w:b w:val="0"/>
                <w:color w:val="FF0000"/>
                <w:lang w:eastAsia="zh-CN"/>
              </w:rPr>
              <w:t>(i.e. handheld UE)</w:t>
            </w:r>
            <w:r w:rsidRPr="007B64F4">
              <w:rPr>
                <w:rFonts w:cs="Arial"/>
                <w:b w:val="0"/>
                <w:lang w:eastAsia="zh-CN"/>
              </w:rPr>
              <w:t xml:space="preserve"> </w:t>
            </w:r>
            <w:r w:rsidRPr="007B64F4">
              <w:rPr>
                <w:rFonts w:cs="Arial"/>
                <w:b w:val="0"/>
                <w:color w:val="000000"/>
                <w:lang w:eastAsia="zh-CN"/>
              </w:rPr>
              <w:t xml:space="preserve">in TS 38.101-2 at FR2 for both waveforms. </w:t>
            </w:r>
            <w:r w:rsidRPr="007B64F4">
              <w:rPr>
                <w:rFonts w:cs="Arial"/>
                <w:b w:val="0"/>
                <w:color w:val="000000" w:themeColor="text1"/>
                <w:lang w:eastAsia="zh-CN"/>
              </w:rPr>
              <w:t>Note that RAN4 did not discuss the applicable FR2 UE PC for V2X communication.</w:t>
            </w:r>
          </w:p>
        </w:tc>
      </w:tr>
    </w:tbl>
    <w:p w14:paraId="2E6AFF25" w14:textId="77777777" w:rsidR="00E41DB4" w:rsidRDefault="00842773" w:rsidP="00E41DB4">
      <w:r>
        <w:lastRenderedPageBreak/>
        <w:t xml:space="preserve">However, as pointed out by some company during the last meeting, there is a confusion in RAN4 on whether </w:t>
      </w:r>
      <w:r w:rsidR="00DD1B7F">
        <w:t xml:space="preserve">the above answer is </w:t>
      </w:r>
      <w:proofErr w:type="gramStart"/>
      <w:r w:rsidR="00DD1B7F">
        <w:t>sufficient</w:t>
      </w:r>
      <w:proofErr w:type="gramEnd"/>
      <w:r w:rsidR="00DD1B7F">
        <w:t xml:space="preserve"> for RAN1 to continue the evaluation, or further discussion is still needed in RAN4.</w:t>
      </w:r>
    </w:p>
    <w:p w14:paraId="59CAF0C0" w14:textId="45DDF55E" w:rsidR="00DD1B7F" w:rsidRPr="003E2B6A" w:rsidRDefault="00EB0FD8" w:rsidP="00E41DB4">
      <w:r>
        <w:t>We provide in this paper our analysis on this issue and propose direction to move forward in RAN4.</w:t>
      </w:r>
    </w:p>
    <w:p w14:paraId="5982EC6F" w14:textId="77777777" w:rsidR="0093161F" w:rsidRDefault="00E41DB4" w:rsidP="00F00497">
      <w:pPr>
        <w:pStyle w:val="Heading1"/>
        <w:rPr>
          <w:lang w:val="en-US"/>
        </w:rPr>
      </w:pPr>
      <w:r>
        <w:rPr>
          <w:lang w:val="en-US"/>
        </w:rPr>
        <w:t>Discussion</w:t>
      </w:r>
    </w:p>
    <w:p w14:paraId="0EB553BD" w14:textId="77777777" w:rsidR="00451A88" w:rsidRPr="00DF3E97" w:rsidRDefault="00DD1B7F" w:rsidP="0093161F">
      <w:pPr>
        <w:pStyle w:val="Heading2"/>
        <w:rPr>
          <w:lang w:val="en-US"/>
        </w:rPr>
      </w:pPr>
      <w:r>
        <w:rPr>
          <w:lang w:val="en-US"/>
        </w:rPr>
        <w:t>System Evaluation</w:t>
      </w:r>
    </w:p>
    <w:p w14:paraId="5D5A4556" w14:textId="78B59EE8" w:rsidR="00DF3E97" w:rsidRDefault="00DD1B7F" w:rsidP="00DF3E97">
      <w:pPr>
        <w:pStyle w:val="3GPPText"/>
        <w:rPr>
          <w:sz w:val="20"/>
        </w:rPr>
      </w:pPr>
      <w:r>
        <w:rPr>
          <w:sz w:val="20"/>
        </w:rPr>
        <w:t xml:space="preserve">IBE plays an important role in NR V2X, as in all other distributed communication system due to the lack of network planning and power control. </w:t>
      </w:r>
      <w:r w:rsidR="00056318">
        <w:rPr>
          <w:sz w:val="20"/>
        </w:rPr>
        <w:t>Due to IBE</w:t>
      </w:r>
      <w:r>
        <w:rPr>
          <w:sz w:val="20"/>
        </w:rPr>
        <w:t xml:space="preserve">, V2X receivers may experience the near-far effect where the strong signal from a nearby transmitter in 1 frequency resources create enough leakage </w:t>
      </w:r>
      <w:r w:rsidR="00056318">
        <w:rPr>
          <w:sz w:val="20"/>
        </w:rPr>
        <w:t xml:space="preserve">to a much weaker signal from a faraway transmitter </w:t>
      </w:r>
      <w:r>
        <w:rPr>
          <w:sz w:val="20"/>
        </w:rPr>
        <w:t>on the other (non</w:t>
      </w:r>
      <w:r w:rsidR="00EB0FD8">
        <w:rPr>
          <w:sz w:val="20"/>
        </w:rPr>
        <w:t>-</w:t>
      </w:r>
      <w:r>
        <w:rPr>
          <w:sz w:val="20"/>
        </w:rPr>
        <w:t>overlapping</w:t>
      </w:r>
      <w:r w:rsidR="00056318">
        <w:rPr>
          <w:sz w:val="20"/>
        </w:rPr>
        <w:t>) frequency resource to causes a reception failure. As a result, communication range is negatively impacted.</w:t>
      </w:r>
    </w:p>
    <w:p w14:paraId="6B22DF9D" w14:textId="77777777" w:rsidR="00056318" w:rsidRPr="00943D04" w:rsidRDefault="00056318" w:rsidP="00DF3E97">
      <w:pPr>
        <w:pStyle w:val="3GPPText"/>
        <w:rPr>
          <w:sz w:val="20"/>
        </w:rPr>
      </w:pPr>
      <w:r>
        <w:rPr>
          <w:sz w:val="20"/>
        </w:rPr>
        <w:t>In [2], system simulations are provided to quantify the impact of IBE on a sample NR V2X system.</w:t>
      </w:r>
    </w:p>
    <w:p w14:paraId="33E96F0A" w14:textId="77777777" w:rsidR="00DF3E97" w:rsidRDefault="00FE1B11" w:rsidP="00DF3E97">
      <w:pPr>
        <w:pStyle w:val="3GPPText"/>
        <w:jc w:val="center"/>
      </w:pPr>
      <w:r w:rsidRPr="00DF3E97">
        <w:rPr>
          <w:noProof/>
          <w:lang w:eastAsia="ko-KR"/>
        </w:rPr>
        <w:lastRenderedPageBreak/>
        <w:drawing>
          <wp:inline distT="0" distB="0" distL="0" distR="0" wp14:anchorId="578BB416" wp14:editId="25888DF4">
            <wp:extent cx="2880197" cy="21600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97" cy="2160000"/>
                    </a:xfrm>
                    <a:prstGeom prst="rect">
                      <a:avLst/>
                    </a:prstGeom>
                    <a:noFill/>
                    <a:ln>
                      <a:noFill/>
                    </a:ln>
                  </pic:spPr>
                </pic:pic>
              </a:graphicData>
            </a:graphic>
          </wp:inline>
        </w:drawing>
      </w:r>
    </w:p>
    <w:p w14:paraId="1D55A6C8" w14:textId="77777777" w:rsidR="00DF3E97" w:rsidRPr="007C1839" w:rsidRDefault="00DF3E97" w:rsidP="00DF3E97">
      <w:pPr>
        <w:pStyle w:val="Caption"/>
        <w:jc w:val="center"/>
        <w:rPr>
          <w:sz w:val="20"/>
        </w:rPr>
      </w:pPr>
      <w:bookmarkStart w:id="3" w:name="_Ref520879872"/>
      <w:r w:rsidRPr="007C1839">
        <w:rPr>
          <w:sz w:val="20"/>
        </w:rPr>
        <w:t xml:space="preserve">Figure </w:t>
      </w:r>
      <w:r w:rsidRPr="007C1839">
        <w:rPr>
          <w:sz w:val="20"/>
        </w:rPr>
        <w:fldChar w:fldCharType="begin"/>
      </w:r>
      <w:r w:rsidRPr="007C1839">
        <w:rPr>
          <w:sz w:val="20"/>
        </w:rPr>
        <w:instrText xml:space="preserve"> SEQ Figure \* ARABIC </w:instrText>
      </w:r>
      <w:r w:rsidRPr="007C1839">
        <w:rPr>
          <w:sz w:val="20"/>
        </w:rPr>
        <w:fldChar w:fldCharType="separate"/>
      </w:r>
      <w:r w:rsidR="008136DD" w:rsidRPr="007C1839">
        <w:rPr>
          <w:noProof/>
          <w:sz w:val="20"/>
        </w:rPr>
        <w:t>1</w:t>
      </w:r>
      <w:r w:rsidRPr="007C1839">
        <w:rPr>
          <w:sz w:val="20"/>
        </w:rPr>
        <w:fldChar w:fldCharType="end"/>
      </w:r>
      <w:bookmarkEnd w:id="3"/>
      <w:r w:rsidRPr="007C1839">
        <w:rPr>
          <w:sz w:val="20"/>
        </w:rPr>
        <w:t>: LTE-V2X performance for 10MHz and 40MHz BW w/ and w/o IBE impact</w:t>
      </w:r>
    </w:p>
    <w:p w14:paraId="79EBF974" w14:textId="4094B7D1" w:rsidR="007C1839" w:rsidRDefault="004C5C0E" w:rsidP="00943D04">
      <w:pPr>
        <w:jc w:val="both"/>
      </w:pPr>
      <w:r>
        <w:t xml:space="preserve">The key observation from that evaluation is that the system with no IBE is more efficient than the system </w:t>
      </w:r>
      <w:r w:rsidR="0067346F">
        <w:t xml:space="preserve">with IBE, even </w:t>
      </w:r>
      <w:r w:rsidR="004C1BD6">
        <w:t>with a smaller channel bandwidth. That should not come as a surprise since the larger the channel bandwidth, the more transmission will happen at the same time in FDM manner (assuming RB allocation per each UE remain unchanged) and hence more impact from IBE.</w:t>
      </w:r>
    </w:p>
    <w:p w14:paraId="245C9888" w14:textId="1F5DD3EA" w:rsidR="004C1BD6" w:rsidRDefault="004C1BD6" w:rsidP="00943D04">
      <w:pPr>
        <w:jc w:val="both"/>
      </w:pPr>
      <w:r>
        <w:t xml:space="preserve">At the same time, it is important to keep in mind that the configuration without IBE is just a theoretical one, which is impossible to achieve. One can never eliminate completely IBE, hence comparing the performance between current IBE mask and no IBE at all would be a quite misleading comparison. In our opinion, </w:t>
      </w:r>
      <w:r w:rsidR="004821BC">
        <w:t>it would provide a much more meaningful comparison if</w:t>
      </w:r>
      <w:r>
        <w:t xml:space="preserve"> we assume a certain range of tightening for each term of the IBE mask and see what </w:t>
      </w:r>
      <w:r w:rsidR="00CB03DE">
        <w:t>the system performance improvement is</w:t>
      </w:r>
      <w:r>
        <w:t xml:space="preserve"> if we tighten the current mask within those ranges. To this end, we perform our own system level evaluation with the following tightening range.</w:t>
      </w:r>
    </w:p>
    <w:p w14:paraId="614D658D" w14:textId="590CD0F5" w:rsidR="004C1BD6" w:rsidRPr="00880392" w:rsidRDefault="004C1BD6" w:rsidP="004C1BD6">
      <w:pPr>
        <w:pStyle w:val="Caption"/>
        <w:jc w:val="center"/>
        <w:rPr>
          <w:sz w:val="20"/>
        </w:rPr>
      </w:pPr>
      <w:r w:rsidRPr="00880392">
        <w:rPr>
          <w:sz w:val="20"/>
        </w:rPr>
        <w:t xml:space="preserve">Table </w:t>
      </w:r>
      <w:r w:rsidRPr="00880392">
        <w:rPr>
          <w:sz w:val="20"/>
        </w:rPr>
        <w:fldChar w:fldCharType="begin"/>
      </w:r>
      <w:r w:rsidRPr="00880392">
        <w:rPr>
          <w:sz w:val="20"/>
        </w:rPr>
        <w:instrText xml:space="preserve"> SEQ Table \* ARABIC </w:instrText>
      </w:r>
      <w:r w:rsidRPr="00880392">
        <w:rPr>
          <w:sz w:val="20"/>
        </w:rPr>
        <w:fldChar w:fldCharType="separate"/>
      </w:r>
      <w:r w:rsidRPr="00880392">
        <w:rPr>
          <w:noProof/>
          <w:sz w:val="20"/>
        </w:rPr>
        <w:t>1</w:t>
      </w:r>
      <w:r w:rsidRPr="00880392">
        <w:rPr>
          <w:sz w:val="20"/>
        </w:rPr>
        <w:fldChar w:fldCharType="end"/>
      </w:r>
      <w:r w:rsidRPr="00880392">
        <w:rPr>
          <w:sz w:val="20"/>
        </w:rPr>
        <w:t xml:space="preserve">. </w:t>
      </w:r>
      <w:r>
        <w:rPr>
          <w:sz w:val="20"/>
        </w:rPr>
        <w:t>IBE Tightening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173"/>
        <w:gridCol w:w="1286"/>
        <w:gridCol w:w="4192"/>
        <w:gridCol w:w="1695"/>
      </w:tblGrid>
      <w:tr w:rsidR="004C1BD6" w:rsidRPr="00611CC4" w14:paraId="2D62FBAE" w14:textId="77777777" w:rsidTr="00287E5A">
        <w:trPr>
          <w:jc w:val="center"/>
        </w:trPr>
        <w:tc>
          <w:tcPr>
            <w:tcW w:w="666" w:type="pct"/>
            <w:tcBorders>
              <w:bottom w:val="single" w:sz="4" w:space="0" w:color="auto"/>
              <w:right w:val="single" w:sz="4" w:space="0" w:color="auto"/>
            </w:tcBorders>
            <w:shd w:val="clear" w:color="auto" w:fill="auto"/>
            <w:vAlign w:val="center"/>
          </w:tcPr>
          <w:p w14:paraId="713DBCB1" w14:textId="77777777" w:rsidR="004C1BD6" w:rsidRPr="00611CC4" w:rsidRDefault="004C1BD6" w:rsidP="00287E5A">
            <w:pPr>
              <w:pStyle w:val="TAH"/>
              <w:keepNext w:val="0"/>
              <w:keepLines w:val="0"/>
              <w:spacing w:before="0"/>
              <w:rPr>
                <w:rFonts w:cs="Arial"/>
                <w:i/>
                <w:iCs/>
              </w:rPr>
            </w:pPr>
            <w:r w:rsidRPr="00611CC4">
              <w:rPr>
                <w:rFonts w:cs="Arial"/>
              </w:rPr>
              <w:t>Parameter description</w:t>
            </w:r>
          </w:p>
        </w:tc>
        <w:tc>
          <w:tcPr>
            <w:tcW w:w="609" w:type="pct"/>
            <w:tcBorders>
              <w:left w:val="single" w:sz="4" w:space="0" w:color="auto"/>
              <w:bottom w:val="single" w:sz="4" w:space="0" w:color="auto"/>
              <w:right w:val="single" w:sz="4" w:space="0" w:color="auto"/>
            </w:tcBorders>
            <w:shd w:val="clear" w:color="auto" w:fill="auto"/>
            <w:vAlign w:val="center"/>
          </w:tcPr>
          <w:p w14:paraId="687CD6C6" w14:textId="77777777" w:rsidR="004C1BD6" w:rsidRPr="00611CC4" w:rsidRDefault="004C1BD6" w:rsidP="00287E5A">
            <w:pPr>
              <w:pStyle w:val="TAH"/>
              <w:keepNext w:val="0"/>
              <w:keepLines w:val="0"/>
              <w:spacing w:before="0"/>
              <w:rPr>
                <w:rFonts w:cs="Arial"/>
              </w:rPr>
            </w:pPr>
            <w:r w:rsidRPr="00611CC4">
              <w:rPr>
                <w:rFonts w:cs="Arial"/>
              </w:rPr>
              <w:t>Unit</w:t>
            </w:r>
          </w:p>
        </w:tc>
        <w:tc>
          <w:tcPr>
            <w:tcW w:w="2845" w:type="pct"/>
            <w:gridSpan w:val="2"/>
            <w:tcBorders>
              <w:left w:val="single" w:sz="4" w:space="0" w:color="auto"/>
              <w:bottom w:val="single" w:sz="4" w:space="0" w:color="auto"/>
              <w:right w:val="single" w:sz="4" w:space="0" w:color="auto"/>
            </w:tcBorders>
            <w:shd w:val="clear" w:color="auto" w:fill="auto"/>
            <w:vAlign w:val="center"/>
          </w:tcPr>
          <w:p w14:paraId="1848492B" w14:textId="77777777" w:rsidR="004C1BD6" w:rsidRPr="00611CC4" w:rsidRDefault="004C1BD6" w:rsidP="00287E5A">
            <w:pPr>
              <w:pStyle w:val="TAH"/>
              <w:keepNext w:val="0"/>
              <w:keepLines w:val="0"/>
              <w:spacing w:before="0"/>
              <w:rPr>
                <w:rFonts w:cs="Arial"/>
              </w:rPr>
            </w:pPr>
            <w:r w:rsidRPr="00611CC4">
              <w:rPr>
                <w:rFonts w:cs="Arial"/>
              </w:rPr>
              <w:t>Limit (NOTE 1)</w:t>
            </w:r>
          </w:p>
        </w:tc>
        <w:tc>
          <w:tcPr>
            <w:tcW w:w="880" w:type="pct"/>
            <w:tcBorders>
              <w:left w:val="single" w:sz="4" w:space="0" w:color="auto"/>
              <w:bottom w:val="single" w:sz="4" w:space="0" w:color="auto"/>
              <w:right w:val="single" w:sz="4" w:space="0" w:color="auto"/>
            </w:tcBorders>
            <w:shd w:val="clear" w:color="auto" w:fill="auto"/>
            <w:vAlign w:val="center"/>
          </w:tcPr>
          <w:p w14:paraId="282BA4EE" w14:textId="77777777" w:rsidR="004C1BD6" w:rsidRPr="00611CC4" w:rsidRDefault="004C1BD6" w:rsidP="00287E5A">
            <w:pPr>
              <w:pStyle w:val="TAH"/>
              <w:keepNext w:val="0"/>
              <w:keepLines w:val="0"/>
              <w:spacing w:before="0"/>
              <w:rPr>
                <w:rFonts w:cs="Arial"/>
              </w:rPr>
            </w:pPr>
            <w:r w:rsidRPr="00611CC4">
              <w:rPr>
                <w:rFonts w:cs="Arial"/>
              </w:rPr>
              <w:t>Applicable Frequencies</w:t>
            </w:r>
          </w:p>
        </w:tc>
      </w:tr>
      <w:tr w:rsidR="004C1BD6" w:rsidRPr="00611CC4" w14:paraId="30B02A08" w14:textId="77777777" w:rsidTr="00287E5A">
        <w:trPr>
          <w:trHeight w:val="710"/>
          <w:jc w:val="center"/>
        </w:trPr>
        <w:tc>
          <w:tcPr>
            <w:tcW w:w="666" w:type="pct"/>
            <w:tcBorders>
              <w:top w:val="single" w:sz="4" w:space="0" w:color="auto"/>
              <w:bottom w:val="single" w:sz="4" w:space="0" w:color="auto"/>
              <w:right w:val="single" w:sz="4" w:space="0" w:color="auto"/>
            </w:tcBorders>
            <w:shd w:val="clear" w:color="auto" w:fill="auto"/>
            <w:vAlign w:val="center"/>
          </w:tcPr>
          <w:p w14:paraId="495E050C" w14:textId="77777777" w:rsidR="004C1BD6" w:rsidRPr="00611CC4" w:rsidRDefault="004C1BD6" w:rsidP="00287E5A">
            <w:pPr>
              <w:pStyle w:val="TAH"/>
              <w:keepNext w:val="0"/>
              <w:keepLines w:val="0"/>
              <w:spacing w:before="0"/>
              <w:rPr>
                <w:rFonts w:cs="Arial"/>
              </w:rPr>
            </w:pPr>
            <w:r w:rsidRPr="00611CC4">
              <w:rPr>
                <w:rFonts w:cs="Arial"/>
              </w:rPr>
              <w:t>General</w:t>
            </w:r>
          </w:p>
        </w:tc>
        <w:tc>
          <w:tcPr>
            <w:tcW w:w="609" w:type="pct"/>
            <w:tcBorders>
              <w:top w:val="single" w:sz="4" w:space="0" w:color="auto"/>
              <w:left w:val="single" w:sz="4" w:space="0" w:color="auto"/>
              <w:bottom w:val="single" w:sz="4" w:space="0" w:color="auto"/>
              <w:right w:val="single" w:sz="4" w:space="0" w:color="auto"/>
            </w:tcBorders>
            <w:vAlign w:val="center"/>
          </w:tcPr>
          <w:p w14:paraId="36F47819" w14:textId="77777777" w:rsidR="004C1BD6" w:rsidRPr="00611CC4" w:rsidRDefault="004C1BD6" w:rsidP="00287E5A">
            <w:pPr>
              <w:pStyle w:val="TAC"/>
              <w:keepNext w:val="0"/>
              <w:keepLines w:val="0"/>
              <w:spacing w:before="0"/>
              <w:rPr>
                <w:rFonts w:cs="Arial"/>
              </w:rPr>
            </w:pPr>
            <w:r w:rsidRPr="00611CC4">
              <w:rPr>
                <w:rFonts w:cs="Arial"/>
              </w:rPr>
              <w:t>dB</w:t>
            </w:r>
          </w:p>
        </w:tc>
        <w:tc>
          <w:tcPr>
            <w:tcW w:w="2845" w:type="pct"/>
            <w:gridSpan w:val="2"/>
            <w:tcBorders>
              <w:top w:val="single" w:sz="4" w:space="0" w:color="auto"/>
              <w:left w:val="single" w:sz="4" w:space="0" w:color="auto"/>
              <w:bottom w:val="single" w:sz="4" w:space="0" w:color="auto"/>
              <w:right w:val="single" w:sz="4" w:space="0" w:color="auto"/>
            </w:tcBorders>
            <w:vAlign w:val="center"/>
          </w:tcPr>
          <w:p w14:paraId="5BB02FA5" w14:textId="7758F37E" w:rsidR="004C1BD6" w:rsidRPr="00611CC4" w:rsidRDefault="003B008E" w:rsidP="004C1BD6">
            <w:pPr>
              <w:pStyle w:val="TAC"/>
              <w:keepNext w:val="0"/>
              <w:keepLines w:val="0"/>
              <w:spacing w:before="0"/>
              <w:rPr>
                <w:rFonts w:cs="Arial"/>
                <w:lang w:eastAsia="ko-KR"/>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mr>
                        </m:m>
                        <m:r>
                          <w:rPr>
                            <w:rFonts w:ascii="Cambria Math" w:cs="Arial"/>
                          </w:rPr>
                          <m:t>-</m:t>
                        </m:r>
                        <m:r>
                          <w:rPr>
                            <w:rFonts w:ascii="Cambria Math" w:cs="Arial"/>
                          </w:rPr>
                          <m:t>25</m:t>
                        </m:r>
                        <m:r>
                          <w:rPr>
                            <w:rFonts w:ascii="Cambria Math" w:cs="Arial"/>
                          </w:rPr>
                          <m:t>-</m:t>
                        </m:r>
                        <m:r>
                          <w:rPr>
                            <w:rFonts w:ascii="Cambria Math" w:cs="Arial"/>
                          </w:rPr>
                          <m:t>10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w:rPr>
                            <w:rFonts w:ascii="Cambria Math" w:cs="Arial"/>
                          </w:rPr>
                          <m:t>-</m:t>
                        </m:r>
                        <m:r>
                          <w:rPr>
                            <w:rFonts w:ascii="Cambria Math" w:cs="Arial"/>
                          </w:rPr>
                          <m:t>X,</m:t>
                        </m:r>
                        <m:m>
                          <m:mPr>
                            <m:mcs>
                              <m:mc>
                                <m:mcPr>
                                  <m:count m:val="1"/>
                                  <m:mcJc m:val="center"/>
                                </m:mcPr>
                              </m:mc>
                            </m:mcs>
                            <m:ctrlPr>
                              <w:rPr>
                                <w:rFonts w:ascii="Cambria Math" w:hAnsi="Cambria Math" w:cs="Arial"/>
                                <w:i/>
                              </w:rPr>
                            </m:ctrlPr>
                          </m:mPr>
                          <m:mr>
                            <m:e/>
                          </m:mr>
                        </m:m>
                      </m:e>
                    </m:d>
                  </m:e>
                </m:func>
                <m:r>
                  <m:rPr>
                    <m:sty m:val="p"/>
                  </m:rPr>
                  <w:rPr>
                    <w:rFonts w:ascii="Cambria Math" w:cs="Arial"/>
                  </w:rPr>
                  <w:br/>
                </m:r>
              </m:oMath>
              <m:oMath>
                <m:r>
                  <w:rPr>
                    <w:rFonts w:ascii="Cambria Math" w:cs="Arial"/>
                  </w:rPr>
                  <m:t>20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cs="Arial"/>
                    <w:highlight w:val="yellow"/>
                  </w:rPr>
                  <m:t>Y</m:t>
                </m:r>
                <m:r>
                  <w:rPr>
                    <w:rFonts w:ascii="Cambria Math" w:cs="Arial"/>
                  </w:rPr>
                  <m:t>)</m:t>
                </m:r>
                <m:r>
                  <w:rPr>
                    <w:rFonts w:ascii="Cambria Math" w:hAnsi="Cambria Math" w:cs="Cambria Math"/>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w:rPr>
                    <w:rFonts w:ascii="Cambria Math" w:cs="Arial"/>
                  </w:rPr>
                  <m:t>X,</m:t>
                </m:r>
                <m:m>
                  <m:mPr>
                    <m:mcs>
                      <m:mc>
                        <m:mcPr>
                          <m:count m:val="1"/>
                          <m:mcJc m:val="center"/>
                        </m:mcPr>
                      </m:mc>
                    </m:mcs>
                    <m:ctrlPr>
                      <w:rPr>
                        <w:rFonts w:ascii="Cambria Math" w:hAnsi="Cambria Math" w:cs="Arial"/>
                        <w:i/>
                      </w:rPr>
                    </m:ctrlPr>
                  </m:mPr>
                  <m:mr>
                    <m:e/>
                  </m:mr>
                </m:m>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sSub>
                      <m:sSubPr>
                        <m:ctrlPr>
                          <w:rPr>
                            <w:rFonts w:ascii="Cambria Math" w:hAnsi="Cambria Math" w:cs="Arial"/>
                            <w:i/>
                          </w:rPr>
                        </m:ctrlPr>
                      </m:sSubPr>
                      <m:e>
                        <m:r>
                          <w:rPr>
                            <w:rFonts w:ascii="Cambria Math" w:cs="Arial"/>
                          </w:rPr>
                          <m:t>P</m:t>
                        </m:r>
                      </m:e>
                      <m:sub>
                        <m:r>
                          <w:rPr>
                            <w:rFonts w:ascii="Cambria Math" w:cs="Arial"/>
                          </w:rPr>
                          <m:t>RB</m:t>
                        </m:r>
                      </m:sub>
                    </m:sSub>
                  </m:e>
                </m:d>
              </m:oMath>
            </m:oMathPara>
          </w:p>
        </w:tc>
        <w:tc>
          <w:tcPr>
            <w:tcW w:w="880" w:type="pct"/>
            <w:tcBorders>
              <w:top w:val="single" w:sz="4" w:space="0" w:color="auto"/>
              <w:left w:val="single" w:sz="4" w:space="0" w:color="auto"/>
              <w:bottom w:val="single" w:sz="4" w:space="0" w:color="auto"/>
              <w:right w:val="single" w:sz="4" w:space="0" w:color="auto"/>
            </w:tcBorders>
            <w:vAlign w:val="center"/>
          </w:tcPr>
          <w:p w14:paraId="1120C19C" w14:textId="77777777" w:rsidR="004C1BD6" w:rsidRPr="00611CC4" w:rsidRDefault="004C1BD6" w:rsidP="00287E5A">
            <w:pPr>
              <w:pStyle w:val="TAC"/>
              <w:keepNext w:val="0"/>
              <w:keepLines w:val="0"/>
              <w:spacing w:before="0"/>
              <w:rPr>
                <w:rFonts w:cs="Arial"/>
              </w:rPr>
            </w:pPr>
            <w:r w:rsidRPr="00611CC4">
              <w:rPr>
                <w:rFonts w:cs="Arial"/>
              </w:rPr>
              <w:t>Any non-allocated (NOTE 2)</w:t>
            </w:r>
          </w:p>
        </w:tc>
      </w:tr>
      <w:tr w:rsidR="004C1BD6" w:rsidRPr="00611CC4" w14:paraId="3F9A1231" w14:textId="77777777" w:rsidTr="00287E5A">
        <w:trPr>
          <w:trHeight w:val="20"/>
          <w:jc w:val="center"/>
        </w:trPr>
        <w:tc>
          <w:tcPr>
            <w:tcW w:w="666" w:type="pct"/>
            <w:vMerge w:val="restart"/>
            <w:tcBorders>
              <w:top w:val="single" w:sz="4" w:space="0" w:color="auto"/>
              <w:right w:val="single" w:sz="4" w:space="0" w:color="auto"/>
            </w:tcBorders>
            <w:shd w:val="clear" w:color="auto" w:fill="auto"/>
            <w:vAlign w:val="center"/>
          </w:tcPr>
          <w:p w14:paraId="71493CC3" w14:textId="77777777" w:rsidR="004C1BD6" w:rsidRPr="004C1BD6" w:rsidRDefault="004C1BD6" w:rsidP="00287E5A">
            <w:pPr>
              <w:pStyle w:val="TAH"/>
              <w:keepNext w:val="0"/>
              <w:keepLines w:val="0"/>
              <w:spacing w:before="0"/>
              <w:rPr>
                <w:rFonts w:cs="Arial"/>
              </w:rPr>
            </w:pPr>
            <w:r w:rsidRPr="004C1BD6">
              <w:rPr>
                <w:rFonts w:cs="Arial"/>
              </w:rPr>
              <w:t>IQ Image</w:t>
            </w:r>
          </w:p>
        </w:tc>
        <w:tc>
          <w:tcPr>
            <w:tcW w:w="609" w:type="pct"/>
            <w:vMerge w:val="restart"/>
            <w:tcBorders>
              <w:top w:val="single" w:sz="4" w:space="0" w:color="auto"/>
              <w:left w:val="single" w:sz="4" w:space="0" w:color="auto"/>
              <w:right w:val="single" w:sz="4" w:space="0" w:color="auto"/>
            </w:tcBorders>
            <w:vAlign w:val="center"/>
          </w:tcPr>
          <w:p w14:paraId="21ACE619" w14:textId="77777777" w:rsidR="004C1BD6" w:rsidRPr="004C1BD6" w:rsidRDefault="004C1BD6" w:rsidP="00287E5A">
            <w:pPr>
              <w:pStyle w:val="TAC"/>
              <w:keepNext w:val="0"/>
              <w:keepLines w:val="0"/>
              <w:spacing w:before="0"/>
              <w:rPr>
                <w:rFonts w:cs="Arial"/>
              </w:rPr>
            </w:pPr>
            <w:r w:rsidRPr="004C1BD6">
              <w:rPr>
                <w:rFonts w:cs="Arial"/>
              </w:rPr>
              <w:t>dB</w:t>
            </w:r>
          </w:p>
        </w:tc>
        <w:tc>
          <w:tcPr>
            <w:tcW w:w="668" w:type="pct"/>
            <w:tcBorders>
              <w:top w:val="single" w:sz="4" w:space="0" w:color="auto"/>
              <w:left w:val="single" w:sz="4" w:space="0" w:color="auto"/>
              <w:right w:val="single" w:sz="4" w:space="0" w:color="auto"/>
            </w:tcBorders>
            <w:vAlign w:val="center"/>
          </w:tcPr>
          <w:p w14:paraId="01041E3C" w14:textId="4BF7A543" w:rsidR="004C1BD6" w:rsidRPr="004C1BD6" w:rsidRDefault="004C1BD6" w:rsidP="00287E5A">
            <w:pPr>
              <w:pStyle w:val="TAC"/>
              <w:keepNext w:val="0"/>
              <w:keepLines w:val="0"/>
              <w:spacing w:before="0"/>
              <w:rPr>
                <w:rFonts w:cs="Arial"/>
                <w:highlight w:val="yellow"/>
              </w:rPr>
            </w:pPr>
            <w:r w:rsidRPr="004C1BD6">
              <w:rPr>
                <w:rFonts w:cs="Arial"/>
                <w:highlight w:val="yellow"/>
              </w:rPr>
              <w:t xml:space="preserve">-28- </w:t>
            </w:r>
            <w:r>
              <w:rPr>
                <w:rFonts w:cs="Arial"/>
                <w:highlight w:val="yellow"/>
              </w:rPr>
              <w:t>X</w:t>
            </w:r>
          </w:p>
        </w:tc>
        <w:tc>
          <w:tcPr>
            <w:tcW w:w="2177" w:type="pct"/>
            <w:tcBorders>
              <w:top w:val="single" w:sz="4" w:space="0" w:color="auto"/>
              <w:left w:val="single" w:sz="4" w:space="0" w:color="auto"/>
              <w:right w:val="single" w:sz="4" w:space="0" w:color="auto"/>
            </w:tcBorders>
            <w:vAlign w:val="center"/>
          </w:tcPr>
          <w:p w14:paraId="16088C69" w14:textId="77777777" w:rsidR="004C1BD6" w:rsidRPr="004C1BD6" w:rsidRDefault="004C1BD6" w:rsidP="00287E5A">
            <w:pPr>
              <w:pStyle w:val="TAL"/>
              <w:keepNext w:val="0"/>
              <w:keepLines w:val="0"/>
              <w:spacing w:before="0"/>
              <w:rPr>
                <w:rFonts w:cs="Arial"/>
              </w:rPr>
            </w:pPr>
            <w:r w:rsidRPr="004C1BD6">
              <w:rPr>
                <w:rFonts w:cs="Arial"/>
              </w:rPr>
              <w:t>Image frequencies when output power &gt; 10 dBm</w:t>
            </w:r>
          </w:p>
        </w:tc>
        <w:tc>
          <w:tcPr>
            <w:tcW w:w="880" w:type="pct"/>
            <w:vMerge w:val="restart"/>
            <w:tcBorders>
              <w:top w:val="single" w:sz="4" w:space="0" w:color="auto"/>
              <w:left w:val="single" w:sz="4" w:space="0" w:color="auto"/>
              <w:right w:val="single" w:sz="4" w:space="0" w:color="auto"/>
            </w:tcBorders>
            <w:vAlign w:val="center"/>
          </w:tcPr>
          <w:p w14:paraId="60FF5CDA" w14:textId="77777777" w:rsidR="004C1BD6" w:rsidRPr="00EF7CD6" w:rsidRDefault="004C1BD6" w:rsidP="00287E5A">
            <w:pPr>
              <w:pStyle w:val="TAC"/>
              <w:keepNext w:val="0"/>
              <w:keepLines w:val="0"/>
              <w:spacing w:before="0"/>
              <w:rPr>
                <w:rFonts w:cs="Arial"/>
              </w:rPr>
            </w:pPr>
            <w:r w:rsidRPr="00EF7CD6">
              <w:rPr>
                <w:rFonts w:cs="Arial"/>
              </w:rPr>
              <w:t>Image frequencies (NOTES 2, 3)</w:t>
            </w:r>
          </w:p>
        </w:tc>
      </w:tr>
      <w:tr w:rsidR="004C1BD6" w:rsidRPr="00611CC4" w14:paraId="768AE504" w14:textId="77777777" w:rsidTr="00287E5A">
        <w:trPr>
          <w:trHeight w:val="20"/>
          <w:jc w:val="center"/>
        </w:trPr>
        <w:tc>
          <w:tcPr>
            <w:tcW w:w="666" w:type="pct"/>
            <w:vMerge/>
            <w:tcBorders>
              <w:right w:val="single" w:sz="4" w:space="0" w:color="auto"/>
            </w:tcBorders>
            <w:shd w:val="clear" w:color="auto" w:fill="auto"/>
            <w:vAlign w:val="center"/>
          </w:tcPr>
          <w:p w14:paraId="14B8AEAE" w14:textId="77777777" w:rsidR="004C1BD6" w:rsidRPr="00A52C94" w:rsidRDefault="004C1BD6" w:rsidP="00287E5A">
            <w:pPr>
              <w:pStyle w:val="TAH"/>
              <w:keepNext w:val="0"/>
              <w:keepLines w:val="0"/>
              <w:spacing w:before="0"/>
              <w:rPr>
                <w:rFonts w:cs="Arial"/>
                <w:strike/>
              </w:rPr>
            </w:pPr>
          </w:p>
        </w:tc>
        <w:tc>
          <w:tcPr>
            <w:tcW w:w="609" w:type="pct"/>
            <w:vMerge/>
            <w:tcBorders>
              <w:left w:val="single" w:sz="4" w:space="0" w:color="auto"/>
              <w:right w:val="single" w:sz="4" w:space="0" w:color="auto"/>
            </w:tcBorders>
            <w:vAlign w:val="center"/>
          </w:tcPr>
          <w:p w14:paraId="0C120AA0" w14:textId="77777777" w:rsidR="004C1BD6" w:rsidRPr="00A52C94" w:rsidRDefault="004C1BD6" w:rsidP="00287E5A">
            <w:pPr>
              <w:pStyle w:val="TAC"/>
              <w:keepNext w:val="0"/>
              <w:keepLines w:val="0"/>
              <w:spacing w:before="0"/>
              <w:rPr>
                <w:rFonts w:cs="Arial"/>
                <w:strike/>
              </w:rPr>
            </w:pPr>
          </w:p>
        </w:tc>
        <w:tc>
          <w:tcPr>
            <w:tcW w:w="668" w:type="pct"/>
            <w:tcBorders>
              <w:top w:val="single" w:sz="4" w:space="0" w:color="auto"/>
              <w:left w:val="single" w:sz="4" w:space="0" w:color="auto"/>
              <w:right w:val="single" w:sz="4" w:space="0" w:color="auto"/>
            </w:tcBorders>
            <w:vAlign w:val="center"/>
          </w:tcPr>
          <w:p w14:paraId="2B2E658E" w14:textId="70A2F32B" w:rsidR="004C1BD6" w:rsidRPr="004C1BD6" w:rsidRDefault="004C1BD6" w:rsidP="00287E5A">
            <w:pPr>
              <w:pStyle w:val="TAC"/>
              <w:keepNext w:val="0"/>
              <w:keepLines w:val="0"/>
              <w:spacing w:before="0"/>
              <w:rPr>
                <w:rFonts w:cs="Arial"/>
                <w:highlight w:val="yellow"/>
              </w:rPr>
            </w:pPr>
            <w:r w:rsidRPr="004C1BD6">
              <w:rPr>
                <w:rFonts w:cs="Arial"/>
                <w:highlight w:val="yellow"/>
              </w:rPr>
              <w:t xml:space="preserve">-28 – </w:t>
            </w:r>
            <w:r>
              <w:rPr>
                <w:rFonts w:cs="Arial"/>
                <w:highlight w:val="yellow"/>
              </w:rPr>
              <w:t>X</w:t>
            </w:r>
          </w:p>
        </w:tc>
        <w:tc>
          <w:tcPr>
            <w:tcW w:w="2177" w:type="pct"/>
            <w:tcBorders>
              <w:top w:val="single" w:sz="4" w:space="0" w:color="auto"/>
              <w:left w:val="single" w:sz="4" w:space="0" w:color="auto"/>
              <w:right w:val="single" w:sz="4" w:space="0" w:color="auto"/>
            </w:tcBorders>
            <w:vAlign w:val="center"/>
          </w:tcPr>
          <w:p w14:paraId="2DFAD2BA" w14:textId="77777777" w:rsidR="004C1BD6" w:rsidRPr="004C1BD6" w:rsidRDefault="004C1BD6" w:rsidP="00287E5A">
            <w:pPr>
              <w:pStyle w:val="TAL"/>
              <w:keepNext w:val="0"/>
              <w:keepLines w:val="0"/>
              <w:spacing w:before="0"/>
              <w:rPr>
                <w:rFonts w:cs="Arial"/>
              </w:rPr>
            </w:pPr>
            <w:r w:rsidRPr="004C1BD6">
              <w:rPr>
                <w:rFonts w:cs="Arial"/>
              </w:rPr>
              <w:t>Image frequencies when output power ≤ 10 dBm</w:t>
            </w:r>
          </w:p>
        </w:tc>
        <w:tc>
          <w:tcPr>
            <w:tcW w:w="880" w:type="pct"/>
            <w:vMerge/>
            <w:tcBorders>
              <w:left w:val="single" w:sz="4" w:space="0" w:color="auto"/>
              <w:right w:val="single" w:sz="4" w:space="0" w:color="auto"/>
            </w:tcBorders>
            <w:vAlign w:val="center"/>
          </w:tcPr>
          <w:p w14:paraId="0A72F0C1" w14:textId="77777777" w:rsidR="004C1BD6" w:rsidRPr="00A52C94" w:rsidRDefault="004C1BD6" w:rsidP="00287E5A">
            <w:pPr>
              <w:pStyle w:val="TAC"/>
              <w:keepNext w:val="0"/>
              <w:keepLines w:val="0"/>
              <w:spacing w:before="0"/>
              <w:rPr>
                <w:rFonts w:cs="Arial"/>
                <w:strike/>
              </w:rPr>
            </w:pPr>
          </w:p>
        </w:tc>
      </w:tr>
      <w:tr w:rsidR="004C1BD6" w:rsidRPr="00611CC4" w14:paraId="133D5DD2" w14:textId="77777777" w:rsidTr="00287E5A">
        <w:trPr>
          <w:trHeight w:val="208"/>
          <w:jc w:val="center"/>
        </w:trPr>
        <w:tc>
          <w:tcPr>
            <w:tcW w:w="666" w:type="pct"/>
            <w:vMerge w:val="restart"/>
            <w:tcBorders>
              <w:top w:val="single" w:sz="4" w:space="0" w:color="auto"/>
              <w:right w:val="single" w:sz="4" w:space="0" w:color="auto"/>
            </w:tcBorders>
            <w:shd w:val="clear" w:color="auto" w:fill="auto"/>
            <w:vAlign w:val="center"/>
          </w:tcPr>
          <w:p w14:paraId="4980C08A" w14:textId="77777777" w:rsidR="004C1BD6" w:rsidRPr="00611CC4" w:rsidRDefault="004C1BD6" w:rsidP="00287E5A">
            <w:pPr>
              <w:pStyle w:val="TAH"/>
              <w:keepNext w:val="0"/>
              <w:keepLines w:val="0"/>
              <w:spacing w:before="0"/>
              <w:rPr>
                <w:rFonts w:cs="Arial"/>
              </w:rPr>
            </w:pPr>
            <w:r w:rsidRPr="00611CC4">
              <w:rPr>
                <w:rFonts w:cs="Arial"/>
              </w:rPr>
              <w:t>Carrier leakage</w:t>
            </w:r>
          </w:p>
        </w:tc>
        <w:tc>
          <w:tcPr>
            <w:tcW w:w="609" w:type="pct"/>
            <w:vMerge w:val="restart"/>
            <w:tcBorders>
              <w:top w:val="single" w:sz="4" w:space="0" w:color="auto"/>
              <w:left w:val="single" w:sz="4" w:space="0" w:color="auto"/>
              <w:right w:val="single" w:sz="4" w:space="0" w:color="auto"/>
            </w:tcBorders>
            <w:vAlign w:val="center"/>
          </w:tcPr>
          <w:p w14:paraId="6B675229" w14:textId="77777777" w:rsidR="004C1BD6" w:rsidRPr="00611CC4" w:rsidRDefault="004C1BD6" w:rsidP="00287E5A">
            <w:pPr>
              <w:pStyle w:val="TAC"/>
              <w:keepNext w:val="0"/>
              <w:keepLines w:val="0"/>
              <w:spacing w:before="0"/>
              <w:rPr>
                <w:rFonts w:cs="Arial"/>
              </w:rPr>
            </w:pPr>
            <w:proofErr w:type="spellStart"/>
            <w:r w:rsidRPr="00611CC4">
              <w:rPr>
                <w:rFonts w:cs="Arial"/>
              </w:rPr>
              <w:t>dBc</w:t>
            </w:r>
            <w:proofErr w:type="spellEnd"/>
          </w:p>
        </w:tc>
        <w:tc>
          <w:tcPr>
            <w:tcW w:w="668" w:type="pct"/>
            <w:tcBorders>
              <w:top w:val="single" w:sz="4" w:space="0" w:color="auto"/>
              <w:left w:val="single" w:sz="4" w:space="0" w:color="auto"/>
              <w:right w:val="single" w:sz="4" w:space="0" w:color="auto"/>
            </w:tcBorders>
            <w:vAlign w:val="center"/>
          </w:tcPr>
          <w:p w14:paraId="75C7DB8A" w14:textId="5DDBCE17" w:rsidR="004C1BD6" w:rsidRPr="00943D04" w:rsidRDefault="004C1BD6" w:rsidP="00287E5A">
            <w:pPr>
              <w:pStyle w:val="TAC"/>
              <w:keepNext w:val="0"/>
              <w:keepLines w:val="0"/>
              <w:spacing w:before="0"/>
              <w:rPr>
                <w:rFonts w:cs="Arial"/>
                <w:highlight w:val="yellow"/>
              </w:rPr>
            </w:pPr>
            <w:r w:rsidRPr="00943D04">
              <w:rPr>
                <w:rFonts w:cs="Arial"/>
                <w:highlight w:val="yellow"/>
              </w:rPr>
              <w:t xml:space="preserve">-28 – </w:t>
            </w:r>
            <w:r>
              <w:rPr>
                <w:rFonts w:cs="Arial"/>
                <w:highlight w:val="yellow"/>
              </w:rPr>
              <w:t>X</w:t>
            </w:r>
            <w:r w:rsidRPr="00943D04">
              <w:rPr>
                <w:rFonts w:cs="Arial"/>
                <w:highlight w:val="yellow"/>
              </w:rPr>
              <w:t xml:space="preserve"> </w:t>
            </w:r>
          </w:p>
        </w:tc>
        <w:tc>
          <w:tcPr>
            <w:tcW w:w="2177" w:type="pct"/>
            <w:tcBorders>
              <w:top w:val="single" w:sz="4" w:space="0" w:color="auto"/>
              <w:left w:val="single" w:sz="4" w:space="0" w:color="auto"/>
              <w:right w:val="single" w:sz="4" w:space="0" w:color="auto"/>
            </w:tcBorders>
            <w:shd w:val="clear" w:color="auto" w:fill="auto"/>
            <w:vAlign w:val="center"/>
          </w:tcPr>
          <w:p w14:paraId="0F3E25A9" w14:textId="77777777" w:rsidR="004C1BD6" w:rsidRPr="00611CC4" w:rsidRDefault="004C1BD6" w:rsidP="00287E5A">
            <w:pPr>
              <w:pStyle w:val="TAL"/>
              <w:keepNext w:val="0"/>
              <w:keepLines w:val="0"/>
              <w:spacing w:before="0"/>
              <w:rPr>
                <w:rFonts w:cs="Arial"/>
              </w:rPr>
            </w:pPr>
            <w:r w:rsidRPr="00611CC4">
              <w:rPr>
                <w:rFonts w:cs="Arial"/>
              </w:rPr>
              <w:t xml:space="preserve">Output power &gt; 10 dBm </w:t>
            </w:r>
          </w:p>
        </w:tc>
        <w:tc>
          <w:tcPr>
            <w:tcW w:w="880" w:type="pct"/>
            <w:vMerge w:val="restart"/>
            <w:tcBorders>
              <w:top w:val="single" w:sz="4" w:space="0" w:color="auto"/>
              <w:left w:val="single" w:sz="4" w:space="0" w:color="auto"/>
              <w:right w:val="single" w:sz="4" w:space="0" w:color="auto"/>
            </w:tcBorders>
            <w:vAlign w:val="center"/>
          </w:tcPr>
          <w:p w14:paraId="5E3786DB" w14:textId="77777777" w:rsidR="004C1BD6" w:rsidRPr="00611CC4" w:rsidRDefault="004C1BD6" w:rsidP="00287E5A">
            <w:pPr>
              <w:pStyle w:val="TAC"/>
              <w:keepNext w:val="0"/>
              <w:keepLines w:val="0"/>
              <w:spacing w:before="0"/>
              <w:rPr>
                <w:rFonts w:cs="Arial"/>
              </w:rPr>
            </w:pPr>
            <w:r w:rsidRPr="00611CC4">
              <w:rPr>
                <w:rFonts w:cs="Arial"/>
              </w:rPr>
              <w:t>Carrier leakage frequency (NOTES 4, 5)</w:t>
            </w:r>
          </w:p>
        </w:tc>
      </w:tr>
      <w:tr w:rsidR="004C1BD6" w:rsidRPr="00611CC4" w14:paraId="7D39EC64" w14:textId="77777777" w:rsidTr="00287E5A">
        <w:trPr>
          <w:trHeight w:val="208"/>
          <w:jc w:val="center"/>
        </w:trPr>
        <w:tc>
          <w:tcPr>
            <w:tcW w:w="666" w:type="pct"/>
            <w:vMerge/>
            <w:tcBorders>
              <w:top w:val="single" w:sz="4" w:space="0" w:color="auto"/>
              <w:right w:val="single" w:sz="4" w:space="0" w:color="auto"/>
            </w:tcBorders>
            <w:shd w:val="clear" w:color="auto" w:fill="auto"/>
            <w:vAlign w:val="center"/>
          </w:tcPr>
          <w:p w14:paraId="34450819" w14:textId="77777777" w:rsidR="004C1BD6" w:rsidRPr="00611CC4" w:rsidRDefault="004C1BD6" w:rsidP="00287E5A">
            <w:pPr>
              <w:pStyle w:val="TAH"/>
              <w:keepNext w:val="0"/>
              <w:keepLines w:val="0"/>
              <w:spacing w:before="0"/>
              <w:rPr>
                <w:rFonts w:cs="Arial"/>
              </w:rPr>
            </w:pPr>
          </w:p>
        </w:tc>
        <w:tc>
          <w:tcPr>
            <w:tcW w:w="609" w:type="pct"/>
            <w:vMerge/>
            <w:tcBorders>
              <w:top w:val="single" w:sz="4" w:space="0" w:color="auto"/>
              <w:left w:val="single" w:sz="4" w:space="0" w:color="auto"/>
              <w:right w:val="single" w:sz="4" w:space="0" w:color="auto"/>
            </w:tcBorders>
            <w:vAlign w:val="center"/>
          </w:tcPr>
          <w:p w14:paraId="57547382" w14:textId="77777777" w:rsidR="004C1BD6" w:rsidRPr="00611CC4" w:rsidRDefault="004C1BD6" w:rsidP="00287E5A">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14:paraId="5DE0268E" w14:textId="055A50B2" w:rsidR="004C1BD6" w:rsidRPr="00943D04" w:rsidRDefault="004C1BD6" w:rsidP="00287E5A">
            <w:pPr>
              <w:pStyle w:val="TAC"/>
              <w:keepNext w:val="0"/>
              <w:keepLines w:val="0"/>
              <w:spacing w:before="0"/>
              <w:rPr>
                <w:rFonts w:cs="Arial"/>
                <w:highlight w:val="yellow"/>
              </w:rPr>
            </w:pPr>
            <w:r w:rsidRPr="00943D04">
              <w:rPr>
                <w:rFonts w:cs="Arial"/>
                <w:highlight w:val="yellow"/>
              </w:rPr>
              <w:t xml:space="preserve">-25 – </w:t>
            </w:r>
            <w:r>
              <w:rPr>
                <w:rFonts w:cs="Arial"/>
                <w:highlight w:val="yellow"/>
              </w:rPr>
              <w:t>X</w:t>
            </w:r>
          </w:p>
        </w:tc>
        <w:tc>
          <w:tcPr>
            <w:tcW w:w="2177" w:type="pct"/>
            <w:tcBorders>
              <w:top w:val="single" w:sz="4" w:space="0" w:color="auto"/>
              <w:left w:val="single" w:sz="4" w:space="0" w:color="auto"/>
              <w:right w:val="single" w:sz="4" w:space="0" w:color="auto"/>
            </w:tcBorders>
            <w:shd w:val="clear" w:color="auto" w:fill="auto"/>
            <w:vAlign w:val="center"/>
          </w:tcPr>
          <w:p w14:paraId="7B33F7BD" w14:textId="77777777" w:rsidR="004C1BD6" w:rsidRPr="00611CC4" w:rsidRDefault="004C1BD6" w:rsidP="00287E5A">
            <w:pPr>
              <w:pStyle w:val="TAL"/>
              <w:keepNext w:val="0"/>
              <w:keepLines w:val="0"/>
              <w:spacing w:before="0"/>
              <w:rPr>
                <w:rFonts w:cs="Arial"/>
              </w:rPr>
            </w:pPr>
            <w:r w:rsidRPr="00611CC4">
              <w:rPr>
                <w:rFonts w:cs="Arial"/>
              </w:rPr>
              <w:t>0 dBm ≤ Output power ≤10 dBm</w:t>
            </w:r>
          </w:p>
        </w:tc>
        <w:tc>
          <w:tcPr>
            <w:tcW w:w="880" w:type="pct"/>
            <w:vMerge/>
            <w:tcBorders>
              <w:top w:val="single" w:sz="4" w:space="0" w:color="auto"/>
              <w:left w:val="single" w:sz="4" w:space="0" w:color="auto"/>
              <w:right w:val="single" w:sz="4" w:space="0" w:color="auto"/>
            </w:tcBorders>
            <w:vAlign w:val="center"/>
          </w:tcPr>
          <w:p w14:paraId="13B40BEB" w14:textId="77777777" w:rsidR="004C1BD6" w:rsidRPr="00611CC4" w:rsidRDefault="004C1BD6" w:rsidP="00287E5A">
            <w:pPr>
              <w:spacing w:before="0" w:after="0"/>
            </w:pPr>
          </w:p>
        </w:tc>
      </w:tr>
      <w:tr w:rsidR="004C1BD6" w:rsidRPr="00611CC4" w14:paraId="36F9B3B0" w14:textId="77777777" w:rsidTr="00287E5A">
        <w:trPr>
          <w:trHeight w:val="206"/>
          <w:jc w:val="center"/>
        </w:trPr>
        <w:tc>
          <w:tcPr>
            <w:tcW w:w="666" w:type="pct"/>
            <w:vMerge/>
            <w:tcBorders>
              <w:right w:val="single" w:sz="4" w:space="0" w:color="auto"/>
            </w:tcBorders>
            <w:shd w:val="clear" w:color="auto" w:fill="auto"/>
            <w:vAlign w:val="center"/>
          </w:tcPr>
          <w:p w14:paraId="322EB71C" w14:textId="77777777" w:rsidR="004C1BD6" w:rsidRPr="00611CC4" w:rsidRDefault="004C1BD6" w:rsidP="00287E5A">
            <w:pPr>
              <w:spacing w:before="0" w:after="0"/>
              <w:rPr>
                <w:b/>
              </w:rPr>
            </w:pPr>
          </w:p>
        </w:tc>
        <w:tc>
          <w:tcPr>
            <w:tcW w:w="609" w:type="pct"/>
            <w:vMerge/>
            <w:tcBorders>
              <w:left w:val="single" w:sz="4" w:space="0" w:color="auto"/>
              <w:right w:val="single" w:sz="4" w:space="0" w:color="auto"/>
            </w:tcBorders>
            <w:vAlign w:val="center"/>
          </w:tcPr>
          <w:p w14:paraId="45336D89" w14:textId="77777777" w:rsidR="004C1BD6" w:rsidRPr="00611CC4" w:rsidRDefault="004C1BD6" w:rsidP="00287E5A">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14:paraId="60FDFBBB" w14:textId="5FC45BD4" w:rsidR="004C1BD6" w:rsidRPr="00943D04" w:rsidRDefault="004C1BD6" w:rsidP="00287E5A">
            <w:pPr>
              <w:pStyle w:val="TAC"/>
              <w:keepNext w:val="0"/>
              <w:keepLines w:val="0"/>
              <w:spacing w:before="0"/>
              <w:rPr>
                <w:rFonts w:cs="Arial"/>
                <w:highlight w:val="yellow"/>
              </w:rPr>
            </w:pPr>
            <w:r w:rsidRPr="00943D04">
              <w:rPr>
                <w:rFonts w:cs="Arial"/>
                <w:highlight w:val="yellow"/>
              </w:rPr>
              <w:t xml:space="preserve">-20 – </w:t>
            </w:r>
            <w:r>
              <w:rPr>
                <w:rFonts w:cs="Arial"/>
                <w:highlight w:val="yellow"/>
              </w:rPr>
              <w:t>X</w:t>
            </w:r>
          </w:p>
        </w:tc>
        <w:tc>
          <w:tcPr>
            <w:tcW w:w="2177" w:type="pct"/>
            <w:tcBorders>
              <w:left w:val="single" w:sz="4" w:space="0" w:color="auto"/>
              <w:right w:val="single" w:sz="4" w:space="0" w:color="auto"/>
            </w:tcBorders>
            <w:shd w:val="clear" w:color="auto" w:fill="auto"/>
            <w:vAlign w:val="center"/>
          </w:tcPr>
          <w:p w14:paraId="0AAF2268" w14:textId="77777777" w:rsidR="004C1BD6" w:rsidRPr="00611CC4" w:rsidRDefault="004C1BD6" w:rsidP="00287E5A">
            <w:pPr>
              <w:pStyle w:val="TAL"/>
              <w:keepNext w:val="0"/>
              <w:keepLines w:val="0"/>
              <w:spacing w:before="0"/>
              <w:rPr>
                <w:rFonts w:cs="Arial"/>
              </w:rPr>
            </w:pPr>
            <w:r w:rsidRPr="00611CC4">
              <w:rPr>
                <w:rFonts w:cs="Arial"/>
              </w:rPr>
              <w:t>-30 dBm ≤ Output power ≤ 0 dBm</w:t>
            </w:r>
          </w:p>
        </w:tc>
        <w:tc>
          <w:tcPr>
            <w:tcW w:w="880" w:type="pct"/>
            <w:vMerge/>
            <w:tcBorders>
              <w:left w:val="single" w:sz="4" w:space="0" w:color="auto"/>
              <w:right w:val="single" w:sz="4" w:space="0" w:color="auto"/>
            </w:tcBorders>
            <w:vAlign w:val="center"/>
          </w:tcPr>
          <w:p w14:paraId="7BC7B1B7" w14:textId="77777777" w:rsidR="004C1BD6" w:rsidRPr="00611CC4" w:rsidRDefault="004C1BD6" w:rsidP="00287E5A">
            <w:pPr>
              <w:spacing w:before="0" w:after="0"/>
            </w:pPr>
          </w:p>
        </w:tc>
      </w:tr>
      <w:tr w:rsidR="004C1BD6" w:rsidRPr="00611CC4" w14:paraId="2EE990E3" w14:textId="77777777" w:rsidTr="00287E5A">
        <w:trPr>
          <w:trHeight w:val="206"/>
          <w:jc w:val="center"/>
        </w:trPr>
        <w:tc>
          <w:tcPr>
            <w:tcW w:w="666" w:type="pct"/>
            <w:vMerge/>
            <w:tcBorders>
              <w:right w:val="single" w:sz="4" w:space="0" w:color="auto"/>
            </w:tcBorders>
            <w:shd w:val="clear" w:color="auto" w:fill="auto"/>
            <w:vAlign w:val="center"/>
          </w:tcPr>
          <w:p w14:paraId="246F4AAB" w14:textId="77777777" w:rsidR="004C1BD6" w:rsidRPr="00611CC4" w:rsidRDefault="004C1BD6" w:rsidP="00287E5A">
            <w:pPr>
              <w:spacing w:before="0" w:after="0"/>
              <w:rPr>
                <w:b/>
              </w:rPr>
            </w:pPr>
          </w:p>
        </w:tc>
        <w:tc>
          <w:tcPr>
            <w:tcW w:w="609" w:type="pct"/>
            <w:vMerge/>
            <w:tcBorders>
              <w:left w:val="single" w:sz="4" w:space="0" w:color="auto"/>
              <w:right w:val="single" w:sz="4" w:space="0" w:color="auto"/>
            </w:tcBorders>
            <w:vAlign w:val="center"/>
          </w:tcPr>
          <w:p w14:paraId="5C9052E4" w14:textId="77777777" w:rsidR="004C1BD6" w:rsidRPr="00611CC4" w:rsidRDefault="004C1BD6" w:rsidP="00287E5A">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14:paraId="27C8EDB0" w14:textId="2A115B20" w:rsidR="004C1BD6" w:rsidRPr="00943D04" w:rsidRDefault="004C1BD6" w:rsidP="00287E5A">
            <w:pPr>
              <w:pStyle w:val="TAC"/>
              <w:keepNext w:val="0"/>
              <w:keepLines w:val="0"/>
              <w:spacing w:before="0"/>
              <w:rPr>
                <w:rFonts w:cs="Arial"/>
                <w:highlight w:val="yellow"/>
              </w:rPr>
            </w:pPr>
            <w:r w:rsidRPr="00943D04">
              <w:rPr>
                <w:rFonts w:cs="Arial"/>
                <w:highlight w:val="yellow"/>
              </w:rPr>
              <w:t xml:space="preserve">-10 – </w:t>
            </w:r>
            <w:r>
              <w:rPr>
                <w:rFonts w:cs="Arial"/>
                <w:highlight w:val="yellow"/>
              </w:rPr>
              <w:t>X</w:t>
            </w:r>
          </w:p>
        </w:tc>
        <w:tc>
          <w:tcPr>
            <w:tcW w:w="2177" w:type="pct"/>
            <w:tcBorders>
              <w:left w:val="single" w:sz="4" w:space="0" w:color="auto"/>
              <w:right w:val="single" w:sz="4" w:space="0" w:color="auto"/>
            </w:tcBorders>
            <w:shd w:val="clear" w:color="auto" w:fill="auto"/>
            <w:vAlign w:val="center"/>
          </w:tcPr>
          <w:p w14:paraId="62535240" w14:textId="77777777" w:rsidR="004C1BD6" w:rsidRPr="00611CC4" w:rsidRDefault="004C1BD6" w:rsidP="00287E5A">
            <w:pPr>
              <w:pStyle w:val="TAL"/>
              <w:keepNext w:val="0"/>
              <w:keepLines w:val="0"/>
              <w:spacing w:before="0"/>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880" w:type="pct"/>
            <w:vMerge/>
            <w:tcBorders>
              <w:left w:val="single" w:sz="4" w:space="0" w:color="auto"/>
              <w:right w:val="single" w:sz="4" w:space="0" w:color="auto"/>
            </w:tcBorders>
            <w:vAlign w:val="center"/>
          </w:tcPr>
          <w:p w14:paraId="31874EDF" w14:textId="77777777" w:rsidR="004C1BD6" w:rsidRPr="00611CC4" w:rsidRDefault="004C1BD6" w:rsidP="00287E5A">
            <w:pPr>
              <w:spacing w:before="0" w:after="0"/>
            </w:pPr>
          </w:p>
        </w:tc>
      </w:tr>
      <w:tr w:rsidR="004C1BD6" w:rsidRPr="00611CC4" w14:paraId="31098C99" w14:textId="77777777" w:rsidTr="00287E5A">
        <w:trPr>
          <w:trHeight w:val="424"/>
          <w:jc w:val="center"/>
        </w:trPr>
        <w:tc>
          <w:tcPr>
            <w:tcW w:w="5000" w:type="pct"/>
            <w:gridSpan w:val="5"/>
            <w:tcBorders>
              <w:right w:val="single" w:sz="4" w:space="0" w:color="auto"/>
            </w:tcBorders>
            <w:shd w:val="clear" w:color="auto" w:fill="auto"/>
            <w:vAlign w:val="center"/>
          </w:tcPr>
          <w:p w14:paraId="64BFE6E3" w14:textId="196A8F83" w:rsidR="004C1BD6" w:rsidRPr="00EF7CD6" w:rsidRDefault="004C1BD6" w:rsidP="00EF7CD6">
            <w:pPr>
              <w:pStyle w:val="TAN"/>
              <w:keepNext w:val="0"/>
              <w:keepLines w:val="0"/>
              <w:spacing w:before="0"/>
              <w:rPr>
                <w:rFonts w:cs="Arial"/>
                <w:sz w:val="16"/>
              </w:rPr>
            </w:pPr>
            <w:r w:rsidRPr="00943D04">
              <w:rPr>
                <w:rFonts w:cs="Arial"/>
                <w:sz w:val="16"/>
              </w:rPr>
              <w:t>NOTE 1:</w:t>
            </w:r>
            <w:r w:rsidRPr="00943D04">
              <w:rPr>
                <w:rFonts w:cs="Arial"/>
                <w:sz w:val="16"/>
              </w:rPr>
              <w:tab/>
              <w:t xml:space="preserve">An in-band emissions combined limit is evaluated in each non-allocated RB. For each such RB, the minimum requirement is calculated as the higher of </w:t>
            </w:r>
            <w:r w:rsidRPr="002C07DB">
              <w:rPr>
                <w:rFonts w:cs="Arial"/>
                <w:i/>
                <w:sz w:val="16"/>
                <w:highlight w:val="yellow"/>
              </w:rPr>
              <w:t>P</w:t>
            </w:r>
            <w:r w:rsidRPr="002C07DB">
              <w:rPr>
                <w:rFonts w:cs="Arial"/>
                <w:i/>
                <w:sz w:val="16"/>
                <w:highlight w:val="yellow"/>
                <w:vertAlign w:val="subscript"/>
              </w:rPr>
              <w:t xml:space="preserve">RB </w:t>
            </w:r>
            <w:r w:rsidRPr="002C07DB">
              <w:rPr>
                <w:rFonts w:cs="Arial"/>
                <w:sz w:val="16"/>
                <w:highlight w:val="yellow"/>
              </w:rPr>
              <w:t xml:space="preserve">- 30 dB – </w:t>
            </w:r>
            <w:r w:rsidR="00EF7CD6">
              <w:rPr>
                <w:rFonts w:cs="Arial"/>
                <w:sz w:val="16"/>
              </w:rPr>
              <w:t>X</w:t>
            </w:r>
            <w:r w:rsidRPr="00943D04">
              <w:rPr>
                <w:rFonts w:cs="Arial"/>
                <w:sz w:val="16"/>
              </w:rPr>
              <w:t xml:space="preserve"> and the power sum of all limit values (General, IQ Image or Carrier leakage) that apply. </w:t>
            </w:r>
            <w:r w:rsidRPr="00943D04">
              <w:rPr>
                <w:rFonts w:cs="Arial"/>
                <w:i/>
                <w:sz w:val="16"/>
              </w:rPr>
              <w:t>P</w:t>
            </w:r>
            <w:r w:rsidRPr="00943D04">
              <w:rPr>
                <w:rFonts w:cs="Arial"/>
                <w:i/>
                <w:sz w:val="16"/>
                <w:vertAlign w:val="subscript"/>
              </w:rPr>
              <w:t>RB</w:t>
            </w:r>
            <w:r w:rsidRPr="00943D04">
              <w:rPr>
                <w:rFonts w:cs="Arial"/>
                <w:i/>
                <w:sz w:val="16"/>
              </w:rPr>
              <w:t xml:space="preserve"> </w:t>
            </w:r>
            <w:r w:rsidRPr="00943D04">
              <w:rPr>
                <w:rFonts w:cs="Arial"/>
                <w:sz w:val="16"/>
              </w:rPr>
              <w:t>is defined in NOTE 10.</w:t>
            </w:r>
          </w:p>
        </w:tc>
      </w:tr>
    </w:tbl>
    <w:p w14:paraId="5950F918" w14:textId="10838B53" w:rsidR="004C1BD6" w:rsidRDefault="00EF7CD6" w:rsidP="00EF7CD6">
      <w:pPr>
        <w:jc w:val="both"/>
        <w:rPr>
          <w:rFonts w:cs="Arial"/>
          <w:bCs/>
          <w:lang w:eastAsia="ko-KR"/>
        </w:rPr>
      </w:pPr>
      <w:r>
        <w:t xml:space="preserve">Compare with the model answered to RAN1 earlier, this model is equivalent to putting all </w:t>
      </w:r>
      <w:r w:rsidRPr="007B64F4">
        <w:rPr>
          <w:rFonts w:cs="Arial"/>
          <w:bCs/>
          <w:lang w:eastAsia="ko-KR"/>
        </w:rPr>
        <w:t>{W, X1, X2, Y1, Y2, Z1, Z2, Z3 and Z4}</w:t>
      </w:r>
      <w:r>
        <w:rPr>
          <w:rFonts w:cs="Arial"/>
          <w:bCs/>
          <w:lang w:eastAsia="ko-KR"/>
        </w:rPr>
        <w:t xml:space="preserve"> to X and we add 1 more term Y that control how fast the IBE slope roll-off once we move out of the allocated RBs. We then refer to X as the IBE margin and consider it in the range of [0,6]; we refer to Y as the IBE slope margin and consider it in the range of [0,5]. Within this framework, X = 0 and Y = 0 correspond to current NR </w:t>
      </w:r>
      <w:proofErr w:type="spellStart"/>
      <w:r>
        <w:rPr>
          <w:rFonts w:cs="Arial"/>
          <w:bCs/>
          <w:lang w:eastAsia="ko-KR"/>
        </w:rPr>
        <w:t>Uu</w:t>
      </w:r>
      <w:proofErr w:type="spellEnd"/>
      <w:r>
        <w:rPr>
          <w:rFonts w:cs="Arial"/>
          <w:bCs/>
          <w:lang w:eastAsia="ko-KR"/>
        </w:rPr>
        <w:t xml:space="preserve"> FR1 IBE mask.</w:t>
      </w:r>
      <w:r w:rsidR="004E7003">
        <w:rPr>
          <w:rFonts w:cs="Arial"/>
          <w:bCs/>
          <w:lang w:eastAsia="ko-KR"/>
        </w:rPr>
        <w:t xml:space="preserve"> We consider 4 configurations:</w:t>
      </w:r>
    </w:p>
    <w:p w14:paraId="17B07CC1" w14:textId="68F7E84B" w:rsidR="004E7003" w:rsidRDefault="004E7003" w:rsidP="004E7003">
      <w:pPr>
        <w:pStyle w:val="ListParagraph"/>
        <w:numPr>
          <w:ilvl w:val="0"/>
          <w:numId w:val="26"/>
        </w:numPr>
        <w:jc w:val="both"/>
        <w:rPr>
          <w:rFonts w:cs="Arial"/>
          <w:bCs/>
          <w:lang w:eastAsia="ko-KR"/>
        </w:rPr>
      </w:pPr>
      <w:r>
        <w:rPr>
          <w:rFonts w:cs="Arial"/>
          <w:bCs/>
          <w:lang w:eastAsia="ko-KR"/>
        </w:rPr>
        <w:t>20 MHz Channel BW, X = 0 and Y = 0</w:t>
      </w:r>
    </w:p>
    <w:p w14:paraId="099775B8" w14:textId="6FF14B8A" w:rsidR="004E7003" w:rsidRDefault="004E7003" w:rsidP="004E7003">
      <w:pPr>
        <w:pStyle w:val="ListParagraph"/>
        <w:numPr>
          <w:ilvl w:val="0"/>
          <w:numId w:val="26"/>
        </w:numPr>
        <w:jc w:val="both"/>
        <w:rPr>
          <w:rFonts w:cs="Arial"/>
          <w:bCs/>
          <w:lang w:eastAsia="ko-KR"/>
        </w:rPr>
      </w:pPr>
      <w:r>
        <w:rPr>
          <w:rFonts w:cs="Arial"/>
          <w:bCs/>
          <w:lang w:eastAsia="ko-KR"/>
        </w:rPr>
        <w:t>20 MHz Channel BW, X = 0 and Y = 5</w:t>
      </w:r>
    </w:p>
    <w:p w14:paraId="1C2DE2F8" w14:textId="7CA88D2D" w:rsidR="004E7003" w:rsidRDefault="004E7003" w:rsidP="004E7003">
      <w:pPr>
        <w:pStyle w:val="ListParagraph"/>
        <w:numPr>
          <w:ilvl w:val="0"/>
          <w:numId w:val="26"/>
        </w:numPr>
        <w:jc w:val="both"/>
        <w:rPr>
          <w:rFonts w:cs="Arial"/>
          <w:bCs/>
          <w:lang w:eastAsia="ko-KR"/>
        </w:rPr>
      </w:pPr>
      <w:r>
        <w:rPr>
          <w:rFonts w:cs="Arial"/>
          <w:bCs/>
          <w:lang w:eastAsia="ko-KR"/>
        </w:rPr>
        <w:t>20 MHz Channel BW, X = 6 and Y = 0</w:t>
      </w:r>
    </w:p>
    <w:p w14:paraId="16EBDBE1" w14:textId="6378C7F7" w:rsidR="004E7003" w:rsidRPr="004E7003" w:rsidRDefault="004E7003" w:rsidP="004E7003">
      <w:pPr>
        <w:pStyle w:val="ListParagraph"/>
        <w:numPr>
          <w:ilvl w:val="0"/>
          <w:numId w:val="26"/>
        </w:numPr>
        <w:jc w:val="both"/>
        <w:rPr>
          <w:rFonts w:cs="Arial"/>
          <w:bCs/>
          <w:lang w:eastAsia="ko-KR"/>
        </w:rPr>
      </w:pPr>
      <w:r>
        <w:rPr>
          <w:rFonts w:cs="Arial"/>
          <w:bCs/>
          <w:lang w:eastAsia="ko-KR"/>
        </w:rPr>
        <w:t>20 MHz Channel BW, 6 = 0 and Y = 5</w:t>
      </w:r>
    </w:p>
    <w:p w14:paraId="144ECFC8" w14:textId="036C3154" w:rsidR="00E25C00" w:rsidRDefault="00E25C00" w:rsidP="00EF7CD6">
      <w:pPr>
        <w:jc w:val="both"/>
        <w:rPr>
          <w:rFonts w:cs="Arial"/>
          <w:bCs/>
          <w:lang w:eastAsia="ko-KR"/>
        </w:rPr>
      </w:pPr>
      <w:r>
        <w:rPr>
          <w:rFonts w:cs="Arial"/>
          <w:bCs/>
          <w:lang w:eastAsia="ko-KR"/>
        </w:rPr>
        <w:t>For simulation setting, we consider a multicast system where each packet is intended to reach receivers within a range of 320m. Each packet is transmitted at least twice. After that, if there is receiver(s) within 320m that do(es) not receive the packet, those receivers will send a NACK feedback to trigger more retransmission. The maximum total number of retransmissions is 4, e.g. 2 initial transmissions and at most 2 other feedback-based retransmissions. Further detailed such as MCS, RB allocation, resource selection and reservation mechanism, etc. can be founded</w:t>
      </w:r>
      <w:r w:rsidR="004E7003">
        <w:rPr>
          <w:rFonts w:cs="Arial"/>
          <w:bCs/>
          <w:lang w:eastAsia="ko-KR"/>
        </w:rPr>
        <w:t xml:space="preserve"> in [3]. We omit those details here since they belong to RAN1 scope and would not be appropriate to debate in RAN4.</w:t>
      </w:r>
    </w:p>
    <w:p w14:paraId="68AD1557" w14:textId="08BEF571" w:rsidR="004E7003" w:rsidRDefault="004E7003" w:rsidP="00EF7CD6">
      <w:pPr>
        <w:jc w:val="both"/>
        <w:rPr>
          <w:rFonts w:cs="Arial"/>
          <w:bCs/>
          <w:lang w:eastAsia="ko-KR"/>
        </w:rPr>
      </w:pPr>
      <w:r>
        <w:rPr>
          <w:rFonts w:cs="Arial"/>
          <w:bCs/>
          <w:lang w:eastAsia="ko-KR"/>
        </w:rPr>
        <w:lastRenderedPageBreak/>
        <w:t>The average packet reception rate on each of the configurations are given in Figure 2.</w:t>
      </w:r>
    </w:p>
    <w:p w14:paraId="20DA9A50" w14:textId="3AC8CD95" w:rsidR="00CB03DE" w:rsidRDefault="00CB03DE" w:rsidP="00CB03DE">
      <w:pPr>
        <w:jc w:val="center"/>
        <w:rPr>
          <w:rFonts w:cs="Arial"/>
          <w:bCs/>
          <w:lang w:eastAsia="ko-KR"/>
        </w:rPr>
      </w:pPr>
      <w:r w:rsidRPr="00CB03DE">
        <w:rPr>
          <w:rFonts w:cs="Arial"/>
          <w:bCs/>
          <w:noProof/>
          <w:lang w:eastAsia="ko-KR"/>
        </w:rPr>
        <w:drawing>
          <wp:inline distT="0" distB="0" distL="0" distR="0" wp14:anchorId="638FD9AD" wp14:editId="18129807">
            <wp:extent cx="3962400" cy="297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7285" cy="2975464"/>
                    </a:xfrm>
                    <a:prstGeom prst="rect">
                      <a:avLst/>
                    </a:prstGeom>
                  </pic:spPr>
                </pic:pic>
              </a:graphicData>
            </a:graphic>
          </wp:inline>
        </w:drawing>
      </w:r>
    </w:p>
    <w:p w14:paraId="566798E9" w14:textId="7B175F9D" w:rsidR="00CB03DE" w:rsidRPr="007C1839" w:rsidRDefault="00CB03DE" w:rsidP="00CB03DE">
      <w:pPr>
        <w:pStyle w:val="Caption"/>
        <w:jc w:val="center"/>
        <w:rPr>
          <w:sz w:val="20"/>
        </w:rPr>
      </w:pPr>
      <w:r w:rsidRPr="007C1839">
        <w:rPr>
          <w:sz w:val="20"/>
        </w:rPr>
        <w:t xml:space="preserve">Figure </w:t>
      </w:r>
      <w:r>
        <w:rPr>
          <w:sz w:val="20"/>
        </w:rPr>
        <w:t>2</w:t>
      </w:r>
      <w:r w:rsidRPr="007C1839">
        <w:rPr>
          <w:sz w:val="20"/>
        </w:rPr>
        <w:t xml:space="preserve">: </w:t>
      </w:r>
      <w:r>
        <w:rPr>
          <w:sz w:val="20"/>
        </w:rPr>
        <w:t>NR</w:t>
      </w:r>
      <w:r w:rsidRPr="007C1839">
        <w:rPr>
          <w:sz w:val="20"/>
        </w:rPr>
        <w:t xml:space="preserve">-V2X performance for </w:t>
      </w:r>
      <w:r>
        <w:rPr>
          <w:sz w:val="20"/>
        </w:rPr>
        <w:t>2</w:t>
      </w:r>
      <w:r w:rsidRPr="007C1839">
        <w:rPr>
          <w:sz w:val="20"/>
        </w:rPr>
        <w:t xml:space="preserve">0MHz </w:t>
      </w:r>
      <w:r>
        <w:rPr>
          <w:sz w:val="20"/>
        </w:rPr>
        <w:t>under different IBE models</w:t>
      </w:r>
    </w:p>
    <w:p w14:paraId="44839C1B" w14:textId="77777777" w:rsidR="00CB03DE" w:rsidRDefault="00CB03DE" w:rsidP="00CB03DE">
      <w:pPr>
        <w:jc w:val="center"/>
        <w:rPr>
          <w:rFonts w:cs="Arial"/>
          <w:bCs/>
          <w:lang w:eastAsia="ko-KR"/>
        </w:rPr>
      </w:pPr>
    </w:p>
    <w:p w14:paraId="3F5BE831" w14:textId="52FBB62F" w:rsidR="00787982" w:rsidRDefault="004E7003" w:rsidP="00EF7CD6">
      <w:pPr>
        <w:jc w:val="both"/>
        <w:rPr>
          <w:rFonts w:cs="Arial"/>
          <w:bCs/>
          <w:lang w:eastAsia="ko-KR"/>
        </w:rPr>
      </w:pPr>
      <w:r>
        <w:rPr>
          <w:rFonts w:cs="Arial"/>
          <w:bCs/>
          <w:lang w:eastAsia="ko-KR"/>
        </w:rPr>
        <w:t>As we see from the result, even with the maximum tightening</w:t>
      </w:r>
      <w:r w:rsidR="00131162">
        <w:rPr>
          <w:rFonts w:cs="Arial"/>
          <w:bCs/>
          <w:lang w:eastAsia="ko-KR"/>
        </w:rPr>
        <w:t xml:space="preserve">, there are only limited gain at long range, beyond the </w:t>
      </w:r>
      <w:r w:rsidR="00787982">
        <w:rPr>
          <w:rFonts w:cs="Arial"/>
          <w:bCs/>
          <w:lang w:eastAsia="ko-KR"/>
        </w:rPr>
        <w:t>target range of 320</w:t>
      </w:r>
      <w:r w:rsidR="00E64E79">
        <w:rPr>
          <w:rFonts w:cs="Arial"/>
          <w:bCs/>
          <w:lang w:eastAsia="ko-KR"/>
        </w:rPr>
        <w:t xml:space="preserve"> meters</w:t>
      </w:r>
      <w:r w:rsidR="00787982">
        <w:rPr>
          <w:rFonts w:cs="Arial"/>
          <w:bCs/>
          <w:lang w:eastAsia="ko-KR"/>
        </w:rPr>
        <w:t>. Within the target range, tightening IBE provide no extra benefit at all. There are several factors that make the result to be that way:</w:t>
      </w:r>
    </w:p>
    <w:p w14:paraId="3CE9127F" w14:textId="7522D330" w:rsidR="004E7003" w:rsidRDefault="00787982" w:rsidP="00787982">
      <w:pPr>
        <w:pStyle w:val="ListParagraph"/>
        <w:numPr>
          <w:ilvl w:val="0"/>
          <w:numId w:val="27"/>
        </w:numPr>
        <w:jc w:val="both"/>
      </w:pPr>
      <w:r>
        <w:t>Limited gain at long range:</w:t>
      </w:r>
    </w:p>
    <w:p w14:paraId="6EAFB9C4" w14:textId="77777777" w:rsidR="00787982" w:rsidRPr="00787982" w:rsidRDefault="00787982" w:rsidP="00787982">
      <w:pPr>
        <w:pStyle w:val="ListParagraph"/>
        <w:numPr>
          <w:ilvl w:val="1"/>
          <w:numId w:val="27"/>
        </w:numPr>
        <w:jc w:val="both"/>
      </w:pPr>
      <w:r w:rsidRPr="00787982">
        <w:rPr>
          <w:rFonts w:ascii="Times New Roman" w:hAnsi="Times New Roman"/>
          <w:sz w:val="20"/>
          <w:szCs w:val="20"/>
        </w:rPr>
        <w:t>The path loss model</w:t>
      </w:r>
      <w:r>
        <w:rPr>
          <w:rFonts w:ascii="Times New Roman" w:hAnsi="Times New Roman"/>
          <w:sz w:val="20"/>
          <w:szCs w:val="20"/>
        </w:rPr>
        <w:t xml:space="preserve"> is much more forgiving in NR V2X. Compare to the pathloss model used to evaluate LTE V2X, NR V2X have a much lower path loss exponent, e.g. 2 for NR V2X versus 4 for LTE V2X. As a result, the same ratio of difference distance results in much smaller different in pathloss. Hence near-far effect is not as severe.</w:t>
      </w:r>
    </w:p>
    <w:p w14:paraId="540CD425" w14:textId="38431B55" w:rsidR="00787982" w:rsidRPr="00787982" w:rsidRDefault="00787982" w:rsidP="00787982">
      <w:pPr>
        <w:pStyle w:val="ListParagraph"/>
        <w:numPr>
          <w:ilvl w:val="1"/>
          <w:numId w:val="27"/>
        </w:numPr>
        <w:jc w:val="both"/>
      </w:pPr>
      <w:r>
        <w:rPr>
          <w:rFonts w:ascii="Times New Roman" w:hAnsi="Times New Roman"/>
          <w:sz w:val="20"/>
          <w:szCs w:val="20"/>
        </w:rPr>
        <w:t xml:space="preserve">Each packet in NR V2X is transmit multiple times. This serves as a natural IBE diversity scheme in the sense that even though the first transmission is affected by IBE from a nearby transmitter. The next time that packet being retransmitted, it is more likely that such nearby transmitter is not active anymore. </w:t>
      </w:r>
    </w:p>
    <w:p w14:paraId="2ED39461" w14:textId="017C699E" w:rsidR="00787982" w:rsidRDefault="00787982" w:rsidP="00787982">
      <w:pPr>
        <w:pStyle w:val="ListParagraph"/>
        <w:numPr>
          <w:ilvl w:val="0"/>
          <w:numId w:val="27"/>
        </w:numPr>
        <w:jc w:val="both"/>
      </w:pPr>
      <w:r>
        <w:t>No gain within target zone:</w:t>
      </w:r>
    </w:p>
    <w:p w14:paraId="1CEC8ECB" w14:textId="1D891A12" w:rsidR="00787982" w:rsidRPr="00E64E79" w:rsidRDefault="00787982" w:rsidP="00787982">
      <w:pPr>
        <w:pStyle w:val="ListParagraph"/>
        <w:numPr>
          <w:ilvl w:val="1"/>
          <w:numId w:val="27"/>
        </w:numPr>
        <w:jc w:val="both"/>
      </w:pPr>
      <w:r>
        <w:rPr>
          <w:rFonts w:ascii="Times New Roman" w:hAnsi="Times New Roman"/>
          <w:sz w:val="20"/>
          <w:szCs w:val="20"/>
        </w:rPr>
        <w:t xml:space="preserve">This is thanks to feedback mechanism. </w:t>
      </w:r>
      <w:proofErr w:type="gramStart"/>
      <w:r w:rsidR="00E64E79">
        <w:rPr>
          <w:rFonts w:ascii="Times New Roman" w:hAnsi="Times New Roman"/>
          <w:sz w:val="20"/>
          <w:szCs w:val="20"/>
        </w:rPr>
        <w:t>Assuming that</w:t>
      </w:r>
      <w:proofErr w:type="gramEnd"/>
      <w:r w:rsidR="00E64E79">
        <w:rPr>
          <w:rFonts w:ascii="Times New Roman" w:hAnsi="Times New Roman"/>
          <w:sz w:val="20"/>
          <w:szCs w:val="20"/>
        </w:rPr>
        <w:t xml:space="preserve"> a UE within 320m cannot receive the packet due to IBE. It can always send a feedback to trigger a retransmission. Combining the mild path loss condition, and the IBE diversity of 3 retransmissions or more; it is fair to say that the residual effect of IBE in this case is very marginal.</w:t>
      </w:r>
    </w:p>
    <w:p w14:paraId="2A395E1E" w14:textId="17531A9A" w:rsidR="00056052" w:rsidRDefault="00E64E79" w:rsidP="00E64E79">
      <w:pPr>
        <w:jc w:val="both"/>
      </w:pPr>
      <w:r>
        <w:t xml:space="preserve">However, to be fair, it worth mentioning that the scheme we consider here is only one of the schemes being considered by RAN1; and the impact of IBE on system performance may vary from scheme to scheme. So, the key </w:t>
      </w:r>
      <w:proofErr w:type="gramStart"/>
      <w:r>
        <w:t>take</w:t>
      </w:r>
      <w:proofErr w:type="gramEnd"/>
      <w:r>
        <w:t xml:space="preserve"> away here should not be the result itself, but the fact that it is impossible for RAN4 to come to a consensus on the benefit of tightening of IBE mask by a certain amount; as long as RAN1 has not agreed on a baseline system design. So, any discussion about tightening the IBE requirement in RAN4 would be immature at this point. </w:t>
      </w:r>
      <w:r w:rsidR="00056052">
        <w:t xml:space="preserve">The only thing RAN4 can do is to provide recommendations to RAN1 on how to modify the current IBE mask for the shake of evaluation in RAN1. </w:t>
      </w:r>
    </w:p>
    <w:p w14:paraId="469A5409" w14:textId="260712EB" w:rsidR="00056052" w:rsidRDefault="00056052" w:rsidP="00E64E79">
      <w:pPr>
        <w:jc w:val="both"/>
      </w:pPr>
      <w:r>
        <w:t>That recommendation has been provided to some extent by the response LS [4</w:t>
      </w:r>
      <w:r w:rsidR="00CB03DE">
        <w:t>] and</w:t>
      </w:r>
      <w:r>
        <w:t xml:space="preserve"> is quite </w:t>
      </w:r>
      <w:proofErr w:type="gramStart"/>
      <w:r>
        <w:t>sufficient</w:t>
      </w:r>
      <w:proofErr w:type="gramEnd"/>
      <w:r>
        <w:t xml:space="preserve"> in our opinion. Any further discussion on RAN4 along that line, while possible, is not that necessary.</w:t>
      </w:r>
    </w:p>
    <w:p w14:paraId="2FB9D4B8" w14:textId="615F13A9" w:rsidR="00E64E79" w:rsidRPr="00CB03DE" w:rsidRDefault="00056052" w:rsidP="00E64E79">
      <w:pPr>
        <w:jc w:val="both"/>
        <w:rPr>
          <w:i/>
        </w:rPr>
      </w:pPr>
      <w:r w:rsidRPr="00CB03DE">
        <w:rPr>
          <w:b/>
          <w:i/>
        </w:rPr>
        <w:t>Observation 1:</w:t>
      </w:r>
      <w:r w:rsidRPr="00CB03DE">
        <w:rPr>
          <w:i/>
        </w:rPr>
        <w:t xml:space="preserve"> any discussion about tightening the IBE requirement in RAN4 would be immature at this point, given the status in RAN1.</w:t>
      </w:r>
    </w:p>
    <w:p w14:paraId="178224F2" w14:textId="170AF198" w:rsidR="00056052" w:rsidRPr="00CB03DE" w:rsidRDefault="00056052" w:rsidP="00E64E79">
      <w:pPr>
        <w:jc w:val="both"/>
        <w:rPr>
          <w:i/>
        </w:rPr>
      </w:pPr>
      <w:r w:rsidRPr="00CB03DE">
        <w:rPr>
          <w:b/>
          <w:i/>
        </w:rPr>
        <w:t>Observation 2:</w:t>
      </w:r>
      <w:r w:rsidRPr="00CB03DE">
        <w:rPr>
          <w:i/>
        </w:rPr>
        <w:t xml:space="preserve"> RAN4 recommendation to RAN1 on how to modify current NR </w:t>
      </w:r>
      <w:proofErr w:type="spellStart"/>
      <w:r w:rsidRPr="00CB03DE">
        <w:rPr>
          <w:i/>
        </w:rPr>
        <w:t>Uu</w:t>
      </w:r>
      <w:proofErr w:type="spellEnd"/>
      <w:r w:rsidRPr="00CB03DE">
        <w:rPr>
          <w:i/>
        </w:rPr>
        <w:t xml:space="preserve"> IBE mask for the purpose of evaluation has been sufficiently provided in [4]. No further discussion is needed in RAN4.</w:t>
      </w:r>
    </w:p>
    <w:p w14:paraId="19E30DFE" w14:textId="5F894349" w:rsidR="00056052" w:rsidRPr="00CB03DE" w:rsidRDefault="00056052" w:rsidP="00E64E79">
      <w:pPr>
        <w:jc w:val="both"/>
        <w:rPr>
          <w:b/>
        </w:rPr>
      </w:pPr>
      <w:r w:rsidRPr="00CB03DE">
        <w:rPr>
          <w:b/>
        </w:rPr>
        <w:t xml:space="preserve">Proposal 1: </w:t>
      </w:r>
      <w:r w:rsidR="0073742F" w:rsidRPr="00CB03DE">
        <w:rPr>
          <w:b/>
        </w:rPr>
        <w:t xml:space="preserve">conduct no further discussion in RAN4 on how to modify current NR </w:t>
      </w:r>
      <w:proofErr w:type="spellStart"/>
      <w:r w:rsidR="0073742F" w:rsidRPr="00CB03DE">
        <w:rPr>
          <w:b/>
        </w:rPr>
        <w:t>Uu</w:t>
      </w:r>
      <w:proofErr w:type="spellEnd"/>
      <w:r w:rsidR="0073742F" w:rsidRPr="00CB03DE">
        <w:rPr>
          <w:b/>
        </w:rPr>
        <w:t xml:space="preserve"> IBE mask for the purpose of evaluation.</w:t>
      </w:r>
    </w:p>
    <w:p w14:paraId="2FE738F6" w14:textId="4E2F1326" w:rsidR="0073742F" w:rsidRPr="00CB03DE" w:rsidRDefault="0073742F" w:rsidP="00E64E79">
      <w:pPr>
        <w:jc w:val="both"/>
        <w:rPr>
          <w:b/>
        </w:rPr>
      </w:pPr>
      <w:r w:rsidRPr="00CB03DE">
        <w:rPr>
          <w:b/>
        </w:rPr>
        <w:lastRenderedPageBreak/>
        <w:t>Proposal 2: the discussion on IBE tightening should start after RAN1 agree on a baseline system design.</w:t>
      </w:r>
    </w:p>
    <w:p w14:paraId="6CCDDD2F" w14:textId="7ED981BC" w:rsidR="00CD2B04" w:rsidRDefault="00CD2B04" w:rsidP="009C2D12">
      <w:pPr>
        <w:pStyle w:val="Heading1"/>
      </w:pPr>
      <w:r w:rsidRPr="009C2D12">
        <w:t>Conclusions</w:t>
      </w:r>
    </w:p>
    <w:p w14:paraId="79530BBE" w14:textId="061A16DF" w:rsidR="00CB03DE" w:rsidRPr="00CB03DE" w:rsidRDefault="00CB03DE" w:rsidP="00CB03DE">
      <w:r>
        <w:t>We provide in this paper our view on NR V2X IBE model, which is the only remaining question in the LS [1] sent by RAN1. Base on the discussion, we have the following observations and proposals.</w:t>
      </w:r>
    </w:p>
    <w:p w14:paraId="674C460B" w14:textId="77777777" w:rsidR="00CB03DE" w:rsidRPr="00CB03DE" w:rsidRDefault="00CB03DE" w:rsidP="00CB03DE">
      <w:pPr>
        <w:jc w:val="both"/>
        <w:rPr>
          <w:i/>
        </w:rPr>
      </w:pPr>
      <w:r w:rsidRPr="00CB03DE">
        <w:rPr>
          <w:b/>
          <w:i/>
        </w:rPr>
        <w:t>Observation 1:</w:t>
      </w:r>
      <w:r w:rsidRPr="00CB03DE">
        <w:rPr>
          <w:i/>
        </w:rPr>
        <w:t xml:space="preserve"> any discussion about tightening the IBE requirement in RAN4 would be immature at this point, given the status in RAN1.</w:t>
      </w:r>
    </w:p>
    <w:p w14:paraId="742805E2" w14:textId="77777777" w:rsidR="00CB03DE" w:rsidRPr="00CB03DE" w:rsidRDefault="00CB03DE" w:rsidP="00CB03DE">
      <w:pPr>
        <w:jc w:val="both"/>
        <w:rPr>
          <w:i/>
        </w:rPr>
      </w:pPr>
      <w:r w:rsidRPr="00CB03DE">
        <w:rPr>
          <w:b/>
          <w:i/>
        </w:rPr>
        <w:t>Observation 2:</w:t>
      </w:r>
      <w:r w:rsidRPr="00CB03DE">
        <w:rPr>
          <w:i/>
        </w:rPr>
        <w:t xml:space="preserve"> RAN4 recommendation to RAN1 on how to modify current NR </w:t>
      </w:r>
      <w:proofErr w:type="spellStart"/>
      <w:r w:rsidRPr="00CB03DE">
        <w:rPr>
          <w:i/>
        </w:rPr>
        <w:t>Uu</w:t>
      </w:r>
      <w:proofErr w:type="spellEnd"/>
      <w:r w:rsidRPr="00CB03DE">
        <w:rPr>
          <w:i/>
        </w:rPr>
        <w:t xml:space="preserve"> IBE mask for the purpose of evaluation has been sufficiently provided in [4]. No further discussion is needed in RAN4.</w:t>
      </w:r>
    </w:p>
    <w:p w14:paraId="3E76B2E7" w14:textId="77777777" w:rsidR="00CB03DE" w:rsidRPr="00CB03DE" w:rsidRDefault="00CB03DE" w:rsidP="00CB03DE">
      <w:pPr>
        <w:jc w:val="both"/>
        <w:rPr>
          <w:b/>
        </w:rPr>
      </w:pPr>
      <w:r w:rsidRPr="00CB03DE">
        <w:rPr>
          <w:b/>
        </w:rPr>
        <w:t xml:space="preserve">Proposal 1: conduct no further discussion in RAN4 on how to modify current NR </w:t>
      </w:r>
      <w:proofErr w:type="spellStart"/>
      <w:r w:rsidRPr="00CB03DE">
        <w:rPr>
          <w:b/>
        </w:rPr>
        <w:t>Uu</w:t>
      </w:r>
      <w:proofErr w:type="spellEnd"/>
      <w:r w:rsidRPr="00CB03DE">
        <w:rPr>
          <w:b/>
        </w:rPr>
        <w:t xml:space="preserve"> IBE mask for the purpose of evaluation.</w:t>
      </w:r>
    </w:p>
    <w:p w14:paraId="6ABA0EDF" w14:textId="77777777" w:rsidR="00CB03DE" w:rsidRPr="00CB03DE" w:rsidRDefault="00CB03DE" w:rsidP="00CB03DE">
      <w:pPr>
        <w:jc w:val="both"/>
        <w:rPr>
          <w:b/>
        </w:rPr>
      </w:pPr>
      <w:r w:rsidRPr="00CB03DE">
        <w:rPr>
          <w:b/>
        </w:rPr>
        <w:t>Proposal 2: the discussion on IBE tightening should start after RAN1 agree on a baseline system design.</w:t>
      </w:r>
    </w:p>
    <w:p w14:paraId="07BD1CE9" w14:textId="7DFA9250" w:rsidR="00CD2B04" w:rsidRPr="00EC03EF" w:rsidRDefault="00CD2B04" w:rsidP="009C2D12">
      <w:pPr>
        <w:pStyle w:val="Heading1"/>
        <w:numPr>
          <w:ilvl w:val="0"/>
          <w:numId w:val="0"/>
        </w:numPr>
        <w:rPr>
          <w:lang w:val="en-US"/>
        </w:rPr>
      </w:pPr>
      <w:r w:rsidRPr="00EC03EF">
        <w:t>References</w:t>
      </w:r>
    </w:p>
    <w:p w14:paraId="7D0AD0C9" w14:textId="77777777" w:rsidR="00E41DB4" w:rsidRDefault="00E41DB4" w:rsidP="00023DD2">
      <w:pPr>
        <w:widowControl w:val="0"/>
        <w:numPr>
          <w:ilvl w:val="0"/>
          <w:numId w:val="8"/>
        </w:numPr>
        <w:jc w:val="both"/>
      </w:pPr>
      <w:r w:rsidRPr="003C4D14">
        <w:t>R1-1810006</w:t>
      </w:r>
      <w:r w:rsidRPr="00313BF9">
        <w:t xml:space="preserve"> “</w:t>
      </w:r>
      <w:r w:rsidRPr="003C4D14">
        <w:t>LS on IBE model for V2X</w:t>
      </w:r>
      <w:r w:rsidRPr="00313BF9">
        <w:t>”</w:t>
      </w:r>
      <w:r>
        <w:t>,</w:t>
      </w:r>
      <w:r w:rsidRPr="00313BF9">
        <w:t xml:space="preserve"> </w:t>
      </w:r>
      <w:r w:rsidRPr="003C4D14">
        <w:t>RAN WG1, Ericsson</w:t>
      </w:r>
      <w:r>
        <w:t>, RAN1 #94, August 2018</w:t>
      </w:r>
    </w:p>
    <w:p w14:paraId="6BA294C6" w14:textId="034DA8D3" w:rsidR="00287E5A" w:rsidRDefault="00CF65D6" w:rsidP="00023DD2">
      <w:pPr>
        <w:widowControl w:val="0"/>
        <w:numPr>
          <w:ilvl w:val="0"/>
          <w:numId w:val="8"/>
        </w:numPr>
        <w:jc w:val="both"/>
      </w:pPr>
      <w:r w:rsidRPr="00CF65D6">
        <w:t>R1-1905009</w:t>
      </w:r>
      <w:r>
        <w:t xml:space="preserve"> “ </w:t>
      </w:r>
      <w:proofErr w:type="spellStart"/>
      <w:r w:rsidR="008C0D78" w:rsidRPr="008C0D78">
        <w:t>Sidelink</w:t>
      </w:r>
      <w:proofErr w:type="spellEnd"/>
      <w:r w:rsidR="008C0D78" w:rsidRPr="008C0D78">
        <w:t xml:space="preserve"> Resource Allocation Mechanism for NR V2X</w:t>
      </w:r>
      <w:r w:rsidR="008C0D78">
        <w:t>”, Qualcomm Inc.</w:t>
      </w:r>
    </w:p>
    <w:p w14:paraId="66E62FFD" w14:textId="237F746F" w:rsidR="00CB03DE" w:rsidRPr="0005456B" w:rsidRDefault="00CB03DE" w:rsidP="00023DD2">
      <w:pPr>
        <w:widowControl w:val="0"/>
        <w:numPr>
          <w:ilvl w:val="0"/>
          <w:numId w:val="8"/>
        </w:numPr>
        <w:jc w:val="both"/>
      </w:pPr>
      <w:r w:rsidRPr="00CB03DE">
        <w:t>R4-1900165</w:t>
      </w:r>
      <w:r>
        <w:t xml:space="preserve"> “</w:t>
      </w:r>
      <w:r w:rsidRPr="00CB03DE">
        <w:t>On NR V2X in-band emission model</w:t>
      </w:r>
      <w:r>
        <w:t>”, Intel</w:t>
      </w:r>
    </w:p>
    <w:p w14:paraId="050714BE" w14:textId="77777777" w:rsidR="007B64F4" w:rsidRDefault="007B64F4"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4" w:name="_Ref520882797"/>
      <w:r>
        <w:rPr>
          <w:rFonts w:ascii="Times New Roman" w:eastAsia="SimSun" w:hAnsi="Times New Roman"/>
          <w:sz w:val="20"/>
          <w:szCs w:val="20"/>
        </w:rPr>
        <w:t>R4-1816666 “Reply LS on NR V2x”, LG Electronics, RAN4#89, November 2018</w:t>
      </w:r>
    </w:p>
    <w:bookmarkEnd w:id="4"/>
    <w:p w14:paraId="7BB36A94"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748AB" w14:textId="77777777" w:rsidR="003B008E" w:rsidRDefault="003B008E">
      <w:r>
        <w:separator/>
      </w:r>
    </w:p>
  </w:endnote>
  <w:endnote w:type="continuationSeparator" w:id="0">
    <w:p w14:paraId="05BED91B" w14:textId="77777777" w:rsidR="003B008E" w:rsidRDefault="003B008E">
      <w:r>
        <w:continuationSeparator/>
      </w:r>
    </w:p>
  </w:endnote>
  <w:endnote w:type="continuationNotice" w:id="1">
    <w:p w14:paraId="3BA8D0CC" w14:textId="77777777" w:rsidR="003B008E" w:rsidRDefault="003B008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76A57" w14:textId="77777777" w:rsidR="00287E5A" w:rsidRDefault="00287E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575EC6" w14:textId="77777777" w:rsidR="00287E5A" w:rsidRDefault="00287E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8D1C" w14:textId="77777777" w:rsidR="00287E5A" w:rsidRPr="00DB1239" w:rsidRDefault="00287E5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78D52" w14:textId="77777777" w:rsidR="003B008E" w:rsidRDefault="003B008E">
      <w:r>
        <w:separator/>
      </w:r>
    </w:p>
  </w:footnote>
  <w:footnote w:type="continuationSeparator" w:id="0">
    <w:p w14:paraId="604BDBC9" w14:textId="77777777" w:rsidR="003B008E" w:rsidRDefault="003B008E">
      <w:r>
        <w:continuationSeparator/>
      </w:r>
    </w:p>
  </w:footnote>
  <w:footnote w:type="continuationNotice" w:id="1">
    <w:p w14:paraId="6097BDE3" w14:textId="77777777" w:rsidR="003B008E" w:rsidRDefault="003B008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D9BB" w14:textId="77777777" w:rsidR="00287E5A" w:rsidRDefault="00287E5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4"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47767"/>
    <w:multiLevelType w:val="hybridMultilevel"/>
    <w:tmpl w:val="0500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3E623BE"/>
    <w:multiLevelType w:val="hybridMultilevel"/>
    <w:tmpl w:val="E562741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2"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1"/>
  </w:num>
  <w:num w:numId="3">
    <w:abstractNumId w:val="13"/>
  </w:num>
  <w:num w:numId="4">
    <w:abstractNumId w:val="1"/>
  </w:num>
  <w:num w:numId="5">
    <w:abstractNumId w:val="8"/>
  </w:num>
  <w:num w:numId="6">
    <w:abstractNumId w:val="3"/>
  </w:num>
  <w:num w:numId="7">
    <w:abstractNumId w:val="20"/>
  </w:num>
  <w:num w:numId="8">
    <w:abstractNumId w:val="6"/>
  </w:num>
  <w:num w:numId="9">
    <w:abstractNumId w:val="5"/>
  </w:num>
  <w:num w:numId="10">
    <w:abstractNumId w:val="16"/>
  </w:num>
  <w:num w:numId="11">
    <w:abstractNumId w:val="19"/>
  </w:num>
  <w:num w:numId="12">
    <w:abstractNumId w:val="21"/>
  </w:num>
  <w:num w:numId="13">
    <w:abstractNumId w:val="24"/>
  </w:num>
  <w:num w:numId="14">
    <w:abstractNumId w:val="18"/>
  </w:num>
  <w:num w:numId="15">
    <w:abstractNumId w:val="2"/>
  </w:num>
  <w:num w:numId="16">
    <w:abstractNumId w:val="25"/>
  </w:num>
  <w:num w:numId="17">
    <w:abstractNumId w:val="26"/>
  </w:num>
  <w:num w:numId="18">
    <w:abstractNumId w:val="15"/>
  </w:num>
  <w:num w:numId="19">
    <w:abstractNumId w:val="14"/>
  </w:num>
  <w:num w:numId="20">
    <w:abstractNumId w:val="22"/>
  </w:num>
  <w:num w:numId="21">
    <w:abstractNumId w:val="9"/>
  </w:num>
  <w:num w:numId="22">
    <w:abstractNumId w:val="4"/>
  </w:num>
  <w:num w:numId="23">
    <w:abstractNumId w:val="10"/>
  </w:num>
  <w:num w:numId="24">
    <w:abstractNumId w:val="3"/>
  </w:num>
  <w:num w:numId="25">
    <w:abstractNumId w:val="23"/>
  </w:num>
  <w:num w:numId="26">
    <w:abstractNumId w:val="7"/>
  </w:num>
  <w:num w:numId="2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318"/>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5A"/>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8E"/>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D78"/>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4E49"/>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4E79"/>
    <w:rsid w:val="00E65E6B"/>
    <w:rsid w:val="00E6640D"/>
    <w:rsid w:val="00E6682F"/>
    <w:rsid w:val="00E701D0"/>
    <w:rsid w:val="00E705E5"/>
    <w:rsid w:val="00E70B0C"/>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BC2A2"/>
  <w15:chartTrackingRefBased/>
  <w15:docId w15:val="{8D94FFC8-01F0-4589-91DA-E2C1BFE7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DE2ED-F8A9-4102-9831-C0C28C013712}">
  <ds:schemaRefs>
    <ds:schemaRef ds:uri="http://schemas.openxmlformats.org/officeDocument/2006/bibliography"/>
  </ds:schemaRefs>
</ds:datastoreItem>
</file>

<file path=customXml/itemProps2.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105AE744-7A77-4B4E-B71F-C2A24113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Akula, Prashanth</cp:lastModifiedBy>
  <cp:revision>2</cp:revision>
  <cp:lastPrinted>2016-11-03T01:40:00Z</cp:lastPrinted>
  <dcterms:created xsi:type="dcterms:W3CDTF">2019-03-29T20:05:00Z</dcterms:created>
  <dcterms:modified xsi:type="dcterms:W3CDTF">2019-03-29T20:05:00Z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